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w:body>
    <w:bookmarkStart w:id="22" w:name="Xe49809354032aaaaf151364b747c9a51329f701"/>
    <w:p>
      <w:pPr>
        <w:pStyle w:val="Heading1"/>
      </w:pPr>
      <w:r>
        <w:t xml:space="preserve">Battlecard commerciale — [concurrent] / [cas d’usage de l’acheteur]</w:t>
      </w:r>
    </w:p>
    <w:p>
      <w:pPr>
        <w:pStyle w:val="FirstParagraph"/>
      </w:pPr>
      <w:r>
        <w:t xml:space="preserve">Modèle de travail interne. Remplissez chaque champ entre crochets avec des preuves ou indiquez qu’il est inconnu. Ne partagez pas les notes confidentielles des affaires à l’extérieur. Gardez la fiche d’entretien courte ; conservez les preuves détaillées en dessous.</w:t>
      </w:r>
    </w:p>
    <w:bookmarkStart w:id="18" w:name="fiche-dentretien"/>
    <w:p>
      <w:pPr>
        <w:pStyle w:val="Heading2"/>
      </w:pPr>
      <w:r>
        <w:t xml:space="preserve">Fiche d’entretien</w:t>
      </w:r>
    </w:p>
    <w:p>
      <w:pPr>
        <w:pStyle w:val="FirstParagraph"/>
      </w:pPr>
      <w:r>
        <w:rPr>
          <w:b/>
          <w:bCs/>
        </w:rPr>
        <w:t xml:space="preserve">Responsable de la fiche :</w:t>
      </w:r>
      <w:r>
        <w:t xml:space="preserve"> </w:t>
      </w:r>
      <w:r>
        <w:t xml:space="preserve">[nom]</w:t>
      </w:r>
      <w:r>
        <w:br/>
      </w:r>
      <w:r>
        <w:rPr>
          <w:b/>
          <w:bCs/>
        </w:rPr>
        <w:t xml:space="preserve">Version / dernière révision complète :</w:t>
      </w:r>
      <w:r>
        <w:t xml:space="preserve"> </w:t>
      </w:r>
      <w:r>
        <w:t xml:space="preserve">[date]</w:t>
      </w:r>
      <w:r>
        <w:br/>
      </w:r>
      <w:r>
        <w:rPr>
          <w:b/>
          <w:bCs/>
        </w:rPr>
        <w:t xml:space="preserve">Acheteur, produit et forfaits concernés :</w:t>
      </w:r>
      <w:r>
        <w:t xml:space="preserve"> </w:t>
      </w:r>
      <w:r>
        <w:t xml:space="preserve">[périmètre]</w:t>
      </w:r>
      <w:r>
        <w:br/>
      </w:r>
      <w:r>
        <w:rPr>
          <w:b/>
          <w:bCs/>
        </w:rPr>
        <w:t xml:space="preserve">Utiliser cette fiche lorsque :</w:t>
      </w:r>
      <w:r>
        <w:t xml:space="preserve"> </w:t>
      </w:r>
      <w:r>
        <w:t xml:space="preserve">[situation d’achat précise]</w:t>
      </w:r>
      <w:r>
        <w:br/>
      </w:r>
      <w:r>
        <w:rPr>
          <w:b/>
          <w:bCs/>
        </w:rPr>
        <w:t xml:space="preserve">Ne pas l’utiliser lorsque :</w:t>
      </w:r>
      <w:r>
        <w:t xml:space="preserve"> </w:t>
      </w:r>
      <w:r>
        <w:t xml:space="preserve">[autre cas d’usage / forfait / zone géographique]</w:t>
      </w:r>
    </w:p>
    <w:bookmarkStart w:id="9" w:name="contexte-de-laffaire"/>
    <w:p>
      <w:pPr>
        <w:pStyle w:val="Heading3"/>
      </w:pPr>
      <w:r>
        <w:t xml:space="preserve">1. Contexte de l’affaire</w:t>
      </w:r>
    </w:p>
    <w:p>
      <w:pPr>
        <w:pStyle w:val="Compact"/>
        <w:numPr>
          <w:ilvl w:val="0"/>
          <w:numId w:val="1001"/>
        </w:numPr>
      </w:pPr>
      <w:r>
        <w:t xml:space="preserve">Rôle et tâche de l’acheteur : [ ]</w:t>
      </w:r>
    </w:p>
    <w:p>
      <w:pPr>
        <w:pStyle w:val="Compact"/>
        <w:numPr>
          <w:ilvl w:val="0"/>
          <w:numId w:val="1001"/>
        </w:numPr>
      </w:pPr>
      <w:r>
        <w:t xml:space="preserve">Produit ou processus actuel : [ ]</w:t>
      </w:r>
    </w:p>
    <w:p>
      <w:pPr>
        <w:pStyle w:val="Compact"/>
        <w:numPr>
          <w:ilvl w:val="0"/>
          <w:numId w:val="1001"/>
        </w:numPr>
      </w:pPr>
      <w:r>
        <w:t xml:space="preserve">Raison d’évaluer maintenant : [ ]</w:t>
      </w:r>
    </w:p>
    <w:p>
      <w:pPr>
        <w:pStyle w:val="Compact"/>
        <w:numPr>
          <w:ilvl w:val="0"/>
          <w:numId w:val="1001"/>
        </w:numPr>
      </w:pPr>
      <w:r>
        <w:t xml:space="preserve">Décideur et autres évaluateurs : [ ]</w:t>
      </w:r>
    </w:p>
    <w:p>
      <w:pPr>
        <w:pStyle w:val="Compact"/>
        <w:numPr>
          <w:ilvl w:val="0"/>
          <w:numId w:val="1001"/>
        </w:numPr>
      </w:pPr>
      <w:r>
        <w:t xml:space="preserve">Résultat requis et façon dont l’acheteur le mesure : [ ]</w:t>
      </w:r>
    </w:p>
    <w:p>
      <w:pPr>
        <w:pStyle w:val="Compact"/>
        <w:numPr>
          <w:ilvl w:val="0"/>
          <w:numId w:val="1001"/>
        </w:numPr>
      </w:pPr>
      <w:r>
        <w:t xml:space="preserve">Exigences indispensables : [ ]</w:t>
      </w:r>
    </w:p>
    <w:p>
      <w:pPr>
        <w:pStyle w:val="Compact"/>
        <w:numPr>
          <w:ilvl w:val="0"/>
          <w:numId w:val="1001"/>
        </w:numPr>
      </w:pPr>
      <w:r>
        <w:t xml:space="preserve">Contraintes de budget, de renouvellement et de mise en œuvre : [ ]</w:t>
      </w:r>
    </w:p>
    <w:bookmarkEnd w:id="9"/>
    <w:bookmarkStart w:id="10" w:name="position-concurrentielle-équitable"/>
    <w:p>
      <w:pPr>
        <w:pStyle w:val="Heading3"/>
      </w:pPr>
      <w:r>
        <w:t xml:space="preserve">2. Position concurrentielle équitable</w:t>
      </w:r>
    </w:p>
    <w:p>
      <w:pPr>
        <w:pStyle w:val="Compact"/>
        <w:numPr>
          <w:ilvl w:val="0"/>
          <w:numId w:val="1002"/>
        </w:numPr>
      </w:pPr>
      <w:r>
        <w:t xml:space="preserve">Leurs atouts crédibles, avec preuves : [ ]</w:t>
      </w:r>
    </w:p>
    <w:p>
      <w:pPr>
        <w:pStyle w:val="Compact"/>
        <w:numPr>
          <w:ilvl w:val="0"/>
          <w:numId w:val="1002"/>
        </w:numPr>
      </w:pPr>
      <w:r>
        <w:t xml:space="preserve">Raisons pour lesquelles ils peuvent mieux convenir : [ ]</w:t>
      </w:r>
    </w:p>
    <w:p>
      <w:pPr>
        <w:pStyle w:val="Compact"/>
        <w:numPr>
          <w:ilvl w:val="0"/>
          <w:numId w:val="1002"/>
        </w:numPr>
      </w:pPr>
      <w:r>
        <w:t xml:space="preserve">Nos atouts pertinents, avec preuves : [ ]</w:t>
      </w:r>
    </w:p>
    <w:p>
      <w:pPr>
        <w:pStyle w:val="Compact"/>
        <w:numPr>
          <w:ilvl w:val="0"/>
          <w:numId w:val="1002"/>
        </w:numPr>
      </w:pPr>
      <w:r>
        <w:t xml:space="preserve">Conditions qui justifient de nous évaluer : [ ]</w:t>
      </w:r>
    </w:p>
    <w:p>
      <w:pPr>
        <w:pStyle w:val="Compact"/>
        <w:numPr>
          <w:ilvl w:val="0"/>
          <w:numId w:val="1002"/>
        </w:numPr>
      </w:pPr>
      <w:r>
        <w:t xml:space="preserve">Conditions dans lesquelles nous devons cesser de pousser au remplacement : [ ]</w:t>
      </w:r>
    </w:p>
    <w:bookmarkEnd w:id="10"/>
    <w:bookmarkStart w:id="11" w:name="Xe3b83cddef4b60fc8a82c3b97560ebc1cf3696b"/>
    <w:p>
      <w:pPr>
        <w:pStyle w:val="Heading3"/>
      </w:pPr>
      <w:r>
        <w:t xml:space="preserve">3. Découverte — à répéter pour chaque exigence décisive</w:t>
      </w:r>
    </w:p>
    <w:p>
      <w:pPr>
        <w:pStyle w:val="Compact"/>
        <w:numPr>
          <w:ilvl w:val="0"/>
          <w:numId w:val="1003"/>
        </w:numPr>
      </w:pPr>
      <w:r>
        <w:t xml:space="preserve">Question initiale : [ ]</w:t>
      </w:r>
    </w:p>
    <w:p>
      <w:pPr>
        <w:pStyle w:val="Compact"/>
        <w:numPr>
          <w:ilvl w:val="0"/>
          <w:numId w:val="1003"/>
        </w:numPr>
      </w:pPr>
      <w:r>
        <w:t xml:space="preserve">Relance qui précise le périmètre : [ ]</w:t>
      </w:r>
    </w:p>
    <w:p>
      <w:pPr>
        <w:pStyle w:val="Compact"/>
        <w:numPr>
          <w:ilvl w:val="0"/>
          <w:numId w:val="1003"/>
        </w:numPr>
      </w:pPr>
      <w:r>
        <w:t xml:space="preserve">Si réponse A : [quoi vérifier / montrer / faire]</w:t>
      </w:r>
    </w:p>
    <w:p>
      <w:pPr>
        <w:pStyle w:val="Compact"/>
        <w:numPr>
          <w:ilvl w:val="0"/>
          <w:numId w:val="1003"/>
        </w:numPr>
      </w:pPr>
      <w:r>
        <w:t xml:space="preserve">Si réponse B : [autre voie]</w:t>
      </w:r>
    </w:p>
    <w:p>
      <w:pPr>
        <w:pStyle w:val="Compact"/>
        <w:numPr>
          <w:ilvl w:val="0"/>
          <w:numId w:val="1003"/>
        </w:numPr>
      </w:pPr>
      <w:r>
        <w:t xml:space="preserve">Condition d’arrêt : [ ]</w:t>
      </w:r>
    </w:p>
    <w:bookmarkEnd w:id="11"/>
    <w:bookmarkStart w:id="12" w:name="X0bbedc28510f90b2aab734c5aa9aa3a2af3f077"/>
    <w:p>
      <w:pPr>
        <w:pStyle w:val="Heading3"/>
      </w:pPr>
      <w:r>
        <w:t xml:space="preserve">4. Différences prouvées — uniquement celles pertinentes pour cet acheteur</w:t>
      </w:r>
    </w:p>
    <w:tbl>
      <w:tblPr>
        <w:tblStyle w:val="Table"/>
        <w:tblW w:type="pct" w:w="5000"/>
        <w:tblLayout w:type="fixed"/>
        <w:tblLook w:firstRow="1" w:lastRow="0" w:firstColumn="0" w:lastColumn="0" w:noHBand="0" w:noVBand="0" w:val="0020"/>
        <w:tblBorders>
          <w:top w:val="single" w:sz="4" w:color="C8BFAE"/>
          <w:left w:val="single" w:sz="4" w:color="C8BFAE"/>
          <w:bottom w:val="single" w:sz="4" w:color="C8BFAE"/>
          <w:right w:val="single" w:sz="4" w:color="C8BFAE"/>
          <w:insideH w:val="single" w:sz="4" w:color="C8BFAE"/>
          <w:insideV w:val="single" w:sz="4" w:color="C8BFAE"/>
        </w:tblBorders>
      </w:tblPr>
      <w:tblGrid>
        <w:gridCol w:w="1584"/>
        <w:gridCol w:w="1584"/>
        <w:gridCol w:w="1584"/>
        <w:gridCol w:w="1584"/>
        <w:gridCol w:w="1584"/>
      </w:tblGrid>
      <w:tr>
        <w:trPr>
          <w:tblHeader w:val="on"/>
        </w:trPr>
        <w:tc>
          <w:tcPr>
            <w:tcMar>
              <w:top w:w="100" w:type="dxa"/>
              <w:left w:w="100" w:type="dxa"/>
              <w:bottom w:w="100" w:type="dxa"/>
              <w:right w:w="100" w:type="dxa"/>
            </w:tcMar>
          </w:tcPr>
          <w:p>
            <w:pPr>
              <w:pStyle w:val="Compact"/>
            </w:pPr>
            <w:r>
              <w:rPr>
                <w:b/>
              </w:rPr>
              <w:t xml:space="preserve">Exigence de l’acheteur</w:t>
            </w:r>
          </w:p>
        </w:tc>
        <w:tc>
          <w:tcPr>
            <w:tcMar>
              <w:top w:w="100" w:type="dxa"/>
              <w:left w:w="100" w:type="dxa"/>
              <w:bottom w:w="100" w:type="dxa"/>
              <w:right w:w="100" w:type="dxa"/>
            </w:tcMar>
          </w:tcPr>
          <w:p>
            <w:pPr>
              <w:pStyle w:val="Compact"/>
            </w:pPr>
            <w:r>
              <w:rPr>
                <w:b/>
              </w:rPr>
              <w:t xml:space="preserve">Leur capacité vérifiée + limite</w:t>
            </w:r>
          </w:p>
        </w:tc>
        <w:tc>
          <w:tcPr>
            <w:tcMar>
              <w:top w:w="100" w:type="dxa"/>
              <w:left w:w="100" w:type="dxa"/>
              <w:bottom w:w="100" w:type="dxa"/>
              <w:right w:w="100" w:type="dxa"/>
            </w:tcMar>
          </w:tcPr>
          <w:p>
            <w:pPr>
              <w:pStyle w:val="Compact"/>
            </w:pPr>
            <w:r>
              <w:rPr>
                <w:b/>
              </w:rPr>
              <w:t xml:space="preserve">Notre capacité vérifiée + limite</w:t>
            </w:r>
          </w:p>
        </w:tc>
        <w:tc>
          <w:tcPr>
            <w:tcMar>
              <w:top w:w="100" w:type="dxa"/>
              <w:left w:w="100" w:type="dxa"/>
              <w:bottom w:w="100" w:type="dxa"/>
              <w:right w:w="100" w:type="dxa"/>
            </w:tcMar>
          </w:tcPr>
          <w:p>
            <w:pPr>
              <w:pStyle w:val="Compact"/>
            </w:pPr>
            <w:r>
              <w:rPr>
                <w:b/>
              </w:rPr>
              <w:t xml:space="preserve">Conséquence pour l’acheteur</w:t>
            </w:r>
          </w:p>
        </w:tc>
        <w:tc>
          <w:tcPr>
            <w:tcMar>
              <w:top w:w="100" w:type="dxa"/>
              <w:left w:w="100" w:type="dxa"/>
              <w:bottom w:w="100" w:type="dxa"/>
              <w:right w:w="100" w:type="dxa"/>
            </w:tcMar>
          </w:tcPr>
          <w:p>
            <w:pPr>
              <w:pStyle w:val="Compact"/>
            </w:pPr>
            <w:r>
              <w:rPr>
                <w:b/>
              </w:rPr>
              <w:t xml:space="preserve">Preuve / identifiants des affirmations</w:t>
            </w:r>
          </w:p>
        </w:tc>
      </w:tr>
      <w:tr>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r>
    </w:tbl>
    <w:p>
      <w:pPr>
        <w:pStyle w:val="BodyText"/>
      </w:pPr>
      <w:r>
        <w:t xml:space="preserve">Pour chaque différence :</w:t>
      </w:r>
    </w:p>
    <w:p>
      <w:pPr>
        <w:pStyle w:val="Compact"/>
        <w:numPr>
          <w:ilvl w:val="0"/>
          <w:numId w:val="1004"/>
        </w:numPr>
      </w:pPr>
      <w:r>
        <w:t xml:space="preserve">Formulation approuvée : [ ]</w:t>
      </w:r>
    </w:p>
    <w:p>
      <w:pPr>
        <w:pStyle w:val="Compact"/>
        <w:numPr>
          <w:ilvl w:val="0"/>
          <w:numId w:val="1004"/>
        </w:numPr>
      </w:pPr>
      <w:r>
        <w:t xml:space="preserve">Réserve à énoncer à voix haute : [ ]</w:t>
      </w:r>
    </w:p>
    <w:p>
      <w:pPr>
        <w:pStyle w:val="Compact"/>
        <w:numPr>
          <w:ilvl w:val="0"/>
          <w:numId w:val="1004"/>
        </w:numPr>
      </w:pPr>
      <w:r>
        <w:t xml:space="preserve">Quand cette différence ne compte pas : [ ]</w:t>
      </w:r>
    </w:p>
    <w:p>
      <w:pPr>
        <w:pStyle w:val="Compact"/>
        <w:numPr>
          <w:ilvl w:val="0"/>
          <w:numId w:val="1004"/>
        </w:numPr>
      </w:pPr>
      <w:r>
        <w:t xml:space="preserve">Si nous manquons de preuves : poser [question] au lieu d’affirmer un avantage.</w:t>
      </w:r>
    </w:p>
    <w:bookmarkEnd w:id="12"/>
    <w:bookmarkStart w:id="13" w:name="objections"/>
    <w:p>
      <w:pPr>
        <w:pStyle w:val="Heading3"/>
      </w:pPr>
      <w:r>
        <w:t xml:space="preserve">5. Objections</w:t>
      </w:r>
    </w:p>
    <w:tbl>
      <w:tblPr>
        <w:tblStyle w:val="Table"/>
        <w:tblW w:type="pct" w:w="5000"/>
        <w:tblLayout w:type="fixed"/>
        <w:tblLook w:firstRow="1" w:lastRow="0" w:firstColumn="0" w:lastColumn="0" w:noHBand="0" w:noVBand="0" w:val="0020"/>
        <w:tblBorders>
          <w:top w:val="single" w:sz="4" w:color="C8BFAE"/>
          <w:left w:val="single" w:sz="4" w:color="C8BFAE"/>
          <w:bottom w:val="single" w:sz="4" w:color="C8BFAE"/>
          <w:right w:val="single" w:sz="4" w:color="C8BFAE"/>
          <w:insideH w:val="single" w:sz="4" w:color="C8BFAE"/>
          <w:insideV w:val="single" w:sz="4" w:color="C8BFAE"/>
        </w:tblBorders>
      </w:tblPr>
      <w:tblGrid>
        <w:gridCol w:w="1584"/>
        <w:gridCol w:w="1584"/>
        <w:gridCol w:w="1584"/>
        <w:gridCol w:w="1584"/>
        <w:gridCol w:w="1584"/>
      </w:tblGrid>
      <w:tr>
        <w:trPr>
          <w:tblHeader w:val="on"/>
        </w:trPr>
        <w:tc>
          <w:tcPr>
            <w:tcMar>
              <w:top w:w="100" w:type="dxa"/>
              <w:left w:w="100" w:type="dxa"/>
              <w:bottom w:w="100" w:type="dxa"/>
              <w:right w:w="100" w:type="dxa"/>
            </w:tcMar>
          </w:tcPr>
          <w:p>
            <w:pPr>
              <w:pStyle w:val="Compact"/>
            </w:pPr>
            <w:r>
              <w:rPr>
                <w:b/>
              </w:rPr>
              <w:t xml:space="preserve">Objection de l’acheteur</w:t>
            </w:r>
          </w:p>
        </w:tc>
        <w:tc>
          <w:tcPr>
            <w:tcMar>
              <w:top w:w="100" w:type="dxa"/>
              <w:left w:w="100" w:type="dxa"/>
              <w:bottom w:w="100" w:type="dxa"/>
              <w:right w:w="100" w:type="dxa"/>
            </w:tcMar>
          </w:tcPr>
          <w:p>
            <w:pPr>
              <w:pStyle w:val="Compact"/>
            </w:pPr>
            <w:r>
              <w:rPr>
                <w:b/>
              </w:rPr>
              <w:t xml:space="preserve">Reconnaître</w:t>
            </w:r>
          </w:p>
        </w:tc>
        <w:tc>
          <w:tcPr>
            <w:tcMar>
              <w:top w:w="100" w:type="dxa"/>
              <w:left w:w="100" w:type="dxa"/>
              <w:bottom w:w="100" w:type="dxa"/>
              <w:right w:w="100" w:type="dxa"/>
            </w:tcMar>
          </w:tcPr>
          <w:p>
            <w:pPr>
              <w:pStyle w:val="Compact"/>
            </w:pPr>
            <w:r>
              <w:rPr>
                <w:b/>
              </w:rPr>
              <w:t xml:space="preserve">Préciser</w:t>
            </w:r>
          </w:p>
        </w:tc>
        <w:tc>
          <w:tcPr>
            <w:tcMar>
              <w:top w:w="100" w:type="dxa"/>
              <w:left w:w="100" w:type="dxa"/>
              <w:bottom w:w="100" w:type="dxa"/>
              <w:right w:w="100" w:type="dxa"/>
            </w:tcMar>
          </w:tcPr>
          <w:p>
            <w:pPr>
              <w:pStyle w:val="Compact"/>
            </w:pPr>
            <w:r>
              <w:rPr>
                <w:b/>
              </w:rPr>
              <w:t xml:space="preserve">Preuve à montrer</w:t>
            </w:r>
          </w:p>
        </w:tc>
        <w:tc>
          <w:tcPr>
            <w:tcMar>
              <w:top w:w="100" w:type="dxa"/>
              <w:left w:w="100" w:type="dxa"/>
              <w:bottom w:w="100" w:type="dxa"/>
              <w:right w:w="100" w:type="dxa"/>
            </w:tcMar>
          </w:tcPr>
          <w:p>
            <w:pPr>
              <w:pStyle w:val="Compact"/>
            </w:pPr>
            <w:r>
              <w:rPr>
                <w:b/>
              </w:rPr>
              <w:t xml:space="preserve">Prochaine étape convenue</w:t>
            </w:r>
          </w:p>
        </w:tc>
      </w:tr>
      <w:tr>
        <w:tc>
          <w:tcPr>
            <w:tcMar>
              <w:top w:w="100" w:type="dxa"/>
              <w:left w:w="100" w:type="dxa"/>
              <w:bottom w:w="100" w:type="dxa"/>
              <w:right w:w="100" w:type="dxa"/>
            </w:tcMar>
          </w:tcPr>
          <w:p>
            <w:pPr>
              <w:pStyle w:val="Compact"/>
            </w:pPr>
            <w:r>
              <w:t xml:space="preserve">Nous avons déjà ça.</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r>
      <w:tr>
        <w:tc>
          <w:tcPr>
            <w:tcMar>
              <w:top w:w="100" w:type="dxa"/>
              <w:left w:w="100" w:type="dxa"/>
              <w:bottom w:w="100" w:type="dxa"/>
              <w:right w:w="100" w:type="dxa"/>
            </w:tcMar>
          </w:tcPr>
          <w:p>
            <w:pPr>
              <w:pStyle w:val="Compact"/>
            </w:pPr>
            <w:r>
              <w:t xml:space="preserve">Ils sont moins chers.</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r>
      <w:tr>
        <w:tc>
          <w:tcPr>
            <w:tcMar>
              <w:top w:w="100" w:type="dxa"/>
              <w:left w:w="100" w:type="dxa"/>
              <w:bottom w:w="100" w:type="dxa"/>
              <w:right w:w="100" w:type="dxa"/>
            </w:tcMar>
          </w:tcPr>
          <w:p>
            <w:pPr>
              <w:pStyle w:val="Compact"/>
            </w:pPr>
            <w:r>
              <w:t xml:space="preserve">Changer demande trop de travail.</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r>
      <w:tr>
        <w:tc>
          <w:tcPr>
            <w:tcMar>
              <w:top w:w="100" w:type="dxa"/>
              <w:left w:w="100" w:type="dxa"/>
              <w:bottom w:w="100" w:type="dxa"/>
              <w:right w:w="100" w:type="dxa"/>
            </w:tcMar>
          </w:tcPr>
          <w:p>
            <w:pPr>
              <w:pStyle w:val="Compact"/>
            </w:pPr>
            <w:r>
              <w:t xml:space="preserve">Ils nous suffisent.</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r>
    </w:tbl>
    <w:bookmarkEnd w:id="13"/>
    <w:bookmarkStart w:id="14" w:name="évaluation-équitable"/>
    <w:p>
      <w:pPr>
        <w:pStyle w:val="Heading3"/>
      </w:pPr>
      <w:r>
        <w:t xml:space="preserve">6. Évaluation équitable</w:t>
      </w:r>
    </w:p>
    <w:p>
      <w:pPr>
        <w:pStyle w:val="Compact"/>
        <w:numPr>
          <w:ilvl w:val="0"/>
          <w:numId w:val="1005"/>
        </w:numPr>
      </w:pPr>
      <w:r>
        <w:t xml:space="preserve">Tâche de l’acheteur et données de test autorisées : [ ]</w:t>
      </w:r>
    </w:p>
    <w:p>
      <w:pPr>
        <w:pStyle w:val="Compact"/>
        <w:numPr>
          <w:ilvl w:val="0"/>
          <w:numId w:val="1005"/>
        </w:numPr>
      </w:pPr>
      <w:r>
        <w:t xml:space="preserve">Conditions identiques pour les deux fournisseurs : [ ]</w:t>
      </w:r>
    </w:p>
    <w:p>
      <w:pPr>
        <w:pStyle w:val="Compact"/>
        <w:numPr>
          <w:ilvl w:val="0"/>
          <w:numId w:val="1005"/>
        </w:numPr>
      </w:pPr>
      <w:r>
        <w:t xml:space="preserve">Sortie attendue / critères de réussite convenus avec l’acheteur : [ ]</w:t>
      </w:r>
    </w:p>
    <w:p>
      <w:pPr>
        <w:pStyle w:val="Compact"/>
        <w:numPr>
          <w:ilvl w:val="0"/>
          <w:numId w:val="1005"/>
        </w:numPr>
      </w:pPr>
      <w:r>
        <w:t xml:space="preserve">Accès, configuration et dépendances : [ ]</w:t>
      </w:r>
    </w:p>
    <w:p>
      <w:pPr>
        <w:pStyle w:val="Compact"/>
        <w:numPr>
          <w:ilvl w:val="0"/>
          <w:numId w:val="1005"/>
        </w:numPr>
      </w:pPr>
      <w:r>
        <w:t xml:space="preserve">Étapes du test : [ ]</w:t>
      </w:r>
    </w:p>
    <w:p>
      <w:pPr>
        <w:pStyle w:val="Compact"/>
        <w:numPr>
          <w:ilvl w:val="0"/>
          <w:numId w:val="1005"/>
        </w:numPr>
      </w:pPr>
      <w:r>
        <w:t xml:space="preserve">Vérification des échecs et de la reprise : [ ]</w:t>
      </w:r>
    </w:p>
    <w:p>
      <w:pPr>
        <w:pStyle w:val="Compact"/>
        <w:numPr>
          <w:ilvl w:val="0"/>
          <w:numId w:val="1005"/>
        </w:numPr>
      </w:pPr>
      <w:r>
        <w:t xml:space="preserve">Résultat réel et lien vers le livrable : [inconnu tant que le test n’est pas réalisé]</w:t>
      </w:r>
    </w:p>
    <w:p>
      <w:pPr>
        <w:pStyle w:val="Compact"/>
        <w:numPr>
          <w:ilvl w:val="0"/>
          <w:numId w:val="1005"/>
        </w:numPr>
      </w:pPr>
      <w:r>
        <w:t xml:space="preserve">Incertitude restante : [ ]</w:t>
      </w:r>
    </w:p>
    <w:p>
      <w:pPr>
        <w:pStyle w:val="Compact"/>
        <w:numPr>
          <w:ilvl w:val="0"/>
          <w:numId w:val="1005"/>
        </w:numPr>
      </w:pPr>
      <w:r>
        <w:t xml:space="preserve">Spécialiste produit et évaluateur côté acheteur : [noms]</w:t>
      </w:r>
    </w:p>
    <w:bookmarkEnd w:id="14"/>
    <w:bookmarkStart w:id="15" w:name="vérifications-commerciales-et-migration"/>
    <w:p>
      <w:pPr>
        <w:pStyle w:val="Heading3"/>
      </w:pPr>
      <w:r>
        <w:t xml:space="preserve">7. Vérifications commerciales et migration</w:t>
      </w:r>
    </w:p>
    <w:p>
      <w:pPr>
        <w:pStyle w:val="Compact"/>
        <w:numPr>
          <w:ilvl w:val="0"/>
          <w:numId w:val="1006"/>
        </w:numPr>
      </w:pPr>
      <w:r>
        <w:t xml:space="preserve">Forfait concerné et attribution de licence : [ ]</w:t>
      </w:r>
    </w:p>
    <w:p>
      <w:pPr>
        <w:pStyle w:val="Compact"/>
        <w:numPr>
          <w:ilvl w:val="0"/>
          <w:numId w:val="1006"/>
        </w:numPr>
      </w:pPr>
      <w:r>
        <w:t xml:space="preserve">Sièges requis et hypothèses de charge de travail : [ ]</w:t>
      </w:r>
    </w:p>
    <w:p>
      <w:pPr>
        <w:pStyle w:val="Compact"/>
        <w:numPr>
          <w:ilvl w:val="0"/>
          <w:numId w:val="1006"/>
        </w:numPr>
      </w:pPr>
      <w:r>
        <w:t xml:space="preserve">Fonctions incluses ou options / frais d’usage : [ ]</w:t>
      </w:r>
    </w:p>
    <w:p>
      <w:pPr>
        <w:pStyle w:val="Compact"/>
        <w:numPr>
          <w:ilvl w:val="0"/>
          <w:numId w:val="1006"/>
        </w:numPr>
      </w:pPr>
      <w:r>
        <w:t xml:space="preserve">Période de facturation, minimums et conditions contractuelles : [ ]</w:t>
      </w:r>
    </w:p>
    <w:p>
      <w:pPr>
        <w:pStyle w:val="Compact"/>
        <w:numPr>
          <w:ilvl w:val="0"/>
          <w:numId w:val="1006"/>
        </w:numPr>
      </w:pPr>
      <w:r>
        <w:t xml:space="preserve">Disponibilité et limites de l’export et de l’import : [ ]</w:t>
      </w:r>
    </w:p>
    <w:p>
      <w:pPr>
        <w:pStyle w:val="Compact"/>
        <w:numPr>
          <w:ilvl w:val="0"/>
          <w:numId w:val="1006"/>
        </w:numPr>
      </w:pPr>
      <w:r>
        <w:t xml:space="preserve">Données impossibles à déplacer ou à récupérer : [ ]</w:t>
      </w:r>
    </w:p>
    <w:p>
      <w:pPr>
        <w:pStyle w:val="Compact"/>
        <w:numPr>
          <w:ilvl w:val="0"/>
          <w:numId w:val="1006"/>
        </w:numPr>
      </w:pPr>
      <w:r>
        <w:t xml:space="preserve">Droits d’administration et vérifications sécurité / juridiques : [ ]</w:t>
      </w:r>
    </w:p>
    <w:p>
      <w:pPr>
        <w:pStyle w:val="Compact"/>
        <w:numPr>
          <w:ilvl w:val="0"/>
          <w:numId w:val="1006"/>
        </w:numPr>
      </w:pPr>
      <w:r>
        <w:t xml:space="preserve">Travail de migration, responsable et dépendances : [ ]</w:t>
      </w:r>
    </w:p>
    <w:p>
      <w:pPr>
        <w:pStyle w:val="Compact"/>
        <w:numPr>
          <w:ilvl w:val="0"/>
          <w:numId w:val="1006"/>
        </w:numPr>
      </w:pPr>
      <w:r>
        <w:t xml:space="preserve">Dates de renouvellement / mise en œuvre confirmées par l’acheteur : [ ]</w:t>
      </w:r>
    </w:p>
    <w:p>
      <w:pPr>
        <w:pStyle w:val="Compact"/>
        <w:numPr>
          <w:ilvl w:val="0"/>
          <w:numId w:val="1006"/>
        </w:numPr>
      </w:pPr>
      <w:r>
        <w:t xml:space="preserve">Offre complète et comparable de chaque côté : [ ]</w:t>
      </w:r>
    </w:p>
    <w:bookmarkEnd w:id="15"/>
    <w:bookmarkStart w:id="16" w:name="prochaine-étape"/>
    <w:p>
      <w:pPr>
        <w:pStyle w:val="Heading3"/>
      </w:pPr>
      <w:r>
        <w:t xml:space="preserve">8. Prochaine étape</w:t>
      </w:r>
    </w:p>
    <w:p>
      <w:pPr>
        <w:pStyle w:val="Compact"/>
        <w:numPr>
          <w:ilvl w:val="0"/>
          <w:numId w:val="1007"/>
        </w:numPr>
      </w:pPr>
      <w:r>
        <w:t xml:space="preserve">Principale question à résoudre : [ ]</w:t>
      </w:r>
    </w:p>
    <w:p>
      <w:pPr>
        <w:pStyle w:val="Compact"/>
        <w:numPr>
          <w:ilvl w:val="0"/>
          <w:numId w:val="1007"/>
        </w:numPr>
      </w:pPr>
      <w:r>
        <w:t xml:space="preserve">Responsable côté acheteur / notre responsable : [ ]</w:t>
      </w:r>
    </w:p>
    <w:p>
      <w:pPr>
        <w:pStyle w:val="Compact"/>
        <w:numPr>
          <w:ilvl w:val="0"/>
          <w:numId w:val="1007"/>
        </w:numPr>
      </w:pPr>
      <w:r>
        <w:t xml:space="preserve">Livrable ou décision requis : [ ]</w:t>
      </w:r>
    </w:p>
    <w:p>
      <w:pPr>
        <w:pStyle w:val="Compact"/>
        <w:numPr>
          <w:ilvl w:val="0"/>
          <w:numId w:val="1007"/>
        </w:numPr>
      </w:pPr>
      <w:r>
        <w:t xml:space="preserve">Date convenue : [ ]</w:t>
      </w:r>
    </w:p>
    <w:bookmarkEnd w:id="16"/>
    <w:bookmarkStart w:id="17" w:name="à-ne-pas-dire"/>
    <w:p>
      <w:pPr>
        <w:pStyle w:val="Heading3"/>
      </w:pPr>
      <w:r>
        <w:t xml:space="preserve">9. À ne pas dire</w:t>
      </w:r>
    </w:p>
    <w:tbl>
      <w:tblPr>
        <w:tblStyle w:val="Table"/>
        <w:tblW w:type="pct" w:w="5000"/>
        <w:tblLayout w:type="fixed"/>
        <w:tblLook w:firstRow="1" w:lastRow="0" w:firstColumn="0" w:lastColumn="0" w:noHBand="0" w:noVBand="0" w:val="0020"/>
        <w:tblBorders>
          <w:top w:val="single" w:sz="4" w:color="C8BFAE"/>
          <w:left w:val="single" w:sz="4" w:color="C8BFAE"/>
          <w:bottom w:val="single" w:sz="4" w:color="C8BFAE"/>
          <w:right w:val="single" w:sz="4" w:color="C8BFAE"/>
          <w:insideH w:val="single" w:sz="4" w:color="C8BFAE"/>
          <w:insideV w:val="single" w:sz="4" w:color="C8BFAE"/>
        </w:tblBorders>
      </w:tblPr>
      <w:tblGrid>
        <w:gridCol w:w="1980"/>
        <w:gridCol w:w="1980"/>
        <w:gridCol w:w="1980"/>
        <w:gridCol w:w="1980"/>
      </w:tblGrid>
      <w:tr>
        <w:trPr>
          <w:tblHeader w:val="on"/>
        </w:trPr>
        <w:tc>
          <w:tcPr>
            <w:tcMar>
              <w:top w:w="100" w:type="dxa"/>
              <w:left w:w="100" w:type="dxa"/>
              <w:bottom w:w="100" w:type="dxa"/>
              <w:right w:w="100" w:type="dxa"/>
            </w:tcMar>
          </w:tcPr>
          <w:p>
            <w:pPr>
              <w:pStyle w:val="Compact"/>
            </w:pPr>
            <w:r>
              <w:rPr>
                <w:b/>
              </w:rPr>
              <w:t xml:space="preserve">Formulation retirée ou non vérifiée</w:t>
            </w:r>
          </w:p>
        </w:tc>
        <w:tc>
          <w:tcPr>
            <w:tcMar>
              <w:top w:w="100" w:type="dxa"/>
              <w:left w:w="100" w:type="dxa"/>
              <w:bottom w:w="100" w:type="dxa"/>
              <w:right w:w="100" w:type="dxa"/>
            </w:tcMar>
          </w:tcPr>
          <w:p>
            <w:pPr>
              <w:pStyle w:val="Compact"/>
            </w:pPr>
            <w:r>
              <w:rPr>
                <w:b/>
              </w:rPr>
              <w:t xml:space="preserve">Motif</w:t>
            </w:r>
          </w:p>
        </w:tc>
        <w:tc>
          <w:tcPr>
            <w:tcMar>
              <w:top w:w="100" w:type="dxa"/>
              <w:left w:w="100" w:type="dxa"/>
              <w:bottom w:w="100" w:type="dxa"/>
              <w:right w:w="100" w:type="dxa"/>
            </w:tcMar>
          </w:tcPr>
          <w:p>
            <w:pPr>
              <w:pStyle w:val="Compact"/>
            </w:pPr>
            <w:r>
              <w:rPr>
                <w:b/>
              </w:rPr>
              <w:t xml:space="preserve">Question de remplacement ou formulation approuvée</w:t>
            </w:r>
          </w:p>
        </w:tc>
        <w:tc>
          <w:tcPr>
            <w:tcMar>
              <w:top w:w="100" w:type="dxa"/>
              <w:left w:w="100" w:type="dxa"/>
              <w:bottom w:w="100" w:type="dxa"/>
              <w:right w:w="100" w:type="dxa"/>
            </w:tcMar>
          </w:tcPr>
          <w:p>
            <w:pPr>
              <w:pStyle w:val="Compact"/>
            </w:pPr>
            <w:r>
              <w:rPr>
                <w:b/>
              </w:rPr>
              <w:t xml:space="preserve">Identifiant de l’affirmation</w:t>
            </w:r>
          </w:p>
        </w:tc>
      </w:tr>
      <w:tr>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r>
    </w:tbl>
    <w:bookmarkEnd w:id="17"/>
    <w:bookmarkEnd w:id="18"/>
    <w:bookmarkStart w:id="19" w:name="Xc90ca1ecf9a461ec6eee439b0e3df5a00ea617d"/>
    <w:p>
      <w:pPr>
        <w:pStyle w:val="Heading2"/>
      </w:pPr>
      <w:r>
        <w:t xml:space="preserve">Notes de preuve — à répéter pour chaque affirmation importante</w:t>
      </w:r>
    </w:p>
    <w:p>
      <w:pPr>
        <w:pStyle w:val="FirstParagraph"/>
      </w:pPr>
      <w:r>
        <w:rPr>
          <w:b/>
          <w:bCs/>
        </w:rPr>
        <w:t xml:space="preserve">Identifiant de l’affirmation :</w:t>
      </w:r>
      <w:r>
        <w:t xml:space="preserve"> </w:t>
      </w:r>
      <w:r>
        <w:t xml:space="preserve">[identifiant stable]</w:t>
      </w:r>
      <w:r>
        <w:br/>
      </w:r>
      <w:r>
        <w:rPr>
          <w:b/>
          <w:bCs/>
        </w:rPr>
        <w:t xml:space="preserve">Affirmation exacte :</w:t>
      </w:r>
      <w:r>
        <w:t xml:space="preserve"> </w:t>
      </w:r>
      <w:r>
        <w:t xml:space="preserve">[une phrase vérifiable]</w:t>
      </w:r>
      <w:r>
        <w:br/>
      </w:r>
      <w:r>
        <w:rPr>
          <w:b/>
          <w:bCs/>
        </w:rPr>
        <w:t xml:space="preserve">Périmètre :</w:t>
      </w:r>
      <w:r>
        <w:t xml:space="preserve"> </w:t>
      </w:r>
      <w:r>
        <w:t xml:space="preserve">[produit / forfait / région / stade de lancement / configuration de l’acheteur]</w:t>
      </w:r>
      <w:r>
        <w:br/>
      </w:r>
      <w:r>
        <w:rPr>
          <w:b/>
          <w:bCs/>
        </w:rPr>
        <w:t xml:space="preserve">URL de la source concurrente :</w:t>
      </w:r>
      <w:r>
        <w:t xml:space="preserve"> </w:t>
      </w:r>
      <w:r>
        <w:t xml:space="preserve">[ ]</w:t>
      </w:r>
      <w:r>
        <w:br/>
      </w:r>
      <w:r>
        <w:rPr>
          <w:b/>
          <w:bCs/>
        </w:rPr>
        <w:t xml:space="preserve">Extrait exact et capture sauvegardée :</w:t>
      </w:r>
      <w:r>
        <w:t xml:space="preserve"> </w:t>
      </w:r>
      <w:r>
        <w:t xml:space="preserve">[ ]</w:t>
      </w:r>
      <w:r>
        <w:br/>
      </w:r>
      <w:r>
        <w:rPr>
          <w:b/>
          <w:bCs/>
        </w:rPr>
        <w:t xml:space="preserve">Notre source ou test reproductible :</w:t>
      </w:r>
      <w:r>
        <w:t xml:space="preserve"> </w:t>
      </w:r>
      <w:r>
        <w:t xml:space="preserve">[ ]</w:t>
      </w:r>
      <w:r>
        <w:br/>
      </w:r>
      <w:r>
        <w:rPr>
          <w:b/>
          <w:bCs/>
        </w:rPr>
        <w:t xml:space="preserve">Date du changement observé :</w:t>
      </w:r>
      <w:r>
        <w:t xml:space="preserve"> </w:t>
      </w:r>
      <w:r>
        <w:t xml:space="preserve">[si connue ; ne pas la remplacer par la date de capture]</w:t>
      </w:r>
      <w:r>
        <w:br/>
      </w:r>
      <w:r>
        <w:rPr>
          <w:b/>
          <w:bCs/>
        </w:rPr>
        <w:t xml:space="preserve">Dernière date de vérification :</w:t>
      </w:r>
      <w:r>
        <w:t xml:space="preserve"> </w:t>
      </w:r>
      <w:r>
        <w:t xml:space="preserve">[ ]</w:t>
      </w:r>
      <w:r>
        <w:br/>
      </w:r>
      <w:r>
        <w:rPr>
          <w:b/>
          <w:bCs/>
        </w:rPr>
        <w:t xml:space="preserve">Vérifié par :</w:t>
      </w:r>
      <w:r>
        <w:t xml:space="preserve"> </w:t>
      </w:r>
      <w:r>
        <w:t xml:space="preserve">[nom]</w:t>
      </w:r>
      <w:r>
        <w:br/>
      </w:r>
      <w:r>
        <w:rPr>
          <w:b/>
          <w:bCs/>
        </w:rPr>
        <w:t xml:space="preserve">Niveau de preuve :</w:t>
      </w:r>
      <w:r>
        <w:t xml:space="preserve"> </w:t>
      </w:r>
      <w:r>
        <w:t xml:space="preserve">[documenté par le fournisseur / testé / rapporté par l’acheteur / non vérifié]</w:t>
      </w:r>
      <w:r>
        <w:br/>
      </w:r>
      <w:r>
        <w:rPr>
          <w:b/>
          <w:bCs/>
        </w:rPr>
        <w:t xml:space="preserve">Statut :</w:t>
      </w:r>
      <w:r>
        <w:t xml:space="preserve"> </w:t>
      </w:r>
      <w:r>
        <w:t xml:space="preserve">[utilisable / à vérifier avant utilisation / retiré]</w:t>
      </w:r>
      <w:r>
        <w:br/>
      </w:r>
      <w:r>
        <w:rPr>
          <w:b/>
          <w:bCs/>
        </w:rPr>
        <w:t xml:space="preserve">Formulation approuvée + réserve nécessaire :</w:t>
      </w:r>
      <w:r>
        <w:t xml:space="preserve"> </w:t>
      </w:r>
      <w:r>
        <w:t xml:space="preserve">[ ]</w:t>
      </w:r>
      <w:r>
        <w:br/>
      </w:r>
      <w:r>
        <w:rPr>
          <w:b/>
          <w:bCs/>
        </w:rPr>
        <w:t xml:space="preserve">Ce que la preuve n’établit pas :</w:t>
      </w:r>
      <w:r>
        <w:t xml:space="preserve"> </w:t>
      </w:r>
      <w:r>
        <w:t xml:space="preserve">[ ]</w:t>
      </w:r>
      <w:r>
        <w:br/>
      </w:r>
      <w:r>
        <w:rPr>
          <w:b/>
          <w:bCs/>
        </w:rPr>
        <w:t xml:space="preserve">Prochaine date ou prochain événement de révision :</w:t>
      </w:r>
      <w:r>
        <w:t xml:space="preserve"> </w:t>
      </w:r>
      <w:r>
        <w:t xml:space="preserve">[ ]</w:t>
      </w:r>
      <w:r>
        <w:br/>
      </w:r>
      <w:r>
        <w:rPr>
          <w:b/>
          <w:bCs/>
        </w:rPr>
        <w:t xml:space="preserve">Fiches, présentations, extraits et affaires actives concernés :</w:t>
      </w:r>
      <w:r>
        <w:t xml:space="preserve"> </w:t>
      </w:r>
      <w:r>
        <w:t xml:space="preserve">[ ]</w:t>
      </w:r>
    </w:p>
    <w:p>
      <w:pPr>
        <w:pStyle w:val="BodyText"/>
      </w:pPr>
      <w:r>
        <w:t xml:space="preserve">Le statut utilisable s’applique à la formulation exacte approuvée, dans son périmètre. La documentation d’un fournisseur prouve ce qu’il déclare, pas le bon fonctionnement dans l’environnement d’un acheteur. Les affirmations inconnues ne doivent pas être présentées comme des faits ; posez plutôt des questions de découverte.</w:t>
      </w:r>
    </w:p>
    <w:bookmarkEnd w:id="19"/>
    <w:bookmarkStart w:id="20" w:name="journal-des-modifications"/>
    <w:p>
      <w:pPr>
        <w:pStyle w:val="Heading2"/>
      </w:pPr>
      <w:r>
        <w:t xml:space="preserve">Journal des modifications</w:t>
      </w:r>
    </w:p>
    <w:tbl>
      <w:tblPr>
        <w:tblStyle w:val="Table"/>
        <w:tblW w:type="pct" w:w="5000"/>
        <w:tblLayout w:type="fixed"/>
        <w:tblLook w:firstRow="1" w:lastRow="0" w:firstColumn="0" w:lastColumn="0" w:noHBand="0" w:noVBand="0" w:val="0020"/>
        <w:tblBorders>
          <w:top w:val="single" w:sz="4" w:color="C8BFAE"/>
          <w:left w:val="single" w:sz="4" w:color="C8BFAE"/>
          <w:bottom w:val="single" w:sz="4" w:color="C8BFAE"/>
          <w:right w:val="single" w:sz="4" w:color="C8BFAE"/>
          <w:insideH w:val="single" w:sz="4" w:color="C8BFAE"/>
          <w:insideV w:val="single" w:sz="4" w:color="C8BFAE"/>
        </w:tblBorders>
      </w:tblPr>
      <w:tblGrid>
        <w:gridCol w:w="1320"/>
        <w:gridCol w:w="1320"/>
        <w:gridCol w:w="1320"/>
        <w:gridCol w:w="1320"/>
        <w:gridCol w:w="1320"/>
        <w:gridCol w:w="1320"/>
      </w:tblGrid>
      <w:tr>
        <w:trPr>
          <w:tblHeader w:val="on"/>
        </w:trPr>
        <w:tc>
          <w:tcPr>
            <w:tcMar>
              <w:top w:w="100" w:type="dxa"/>
              <w:left w:w="100" w:type="dxa"/>
              <w:bottom w:w="100" w:type="dxa"/>
              <w:right w:w="100" w:type="dxa"/>
            </w:tcMar>
          </w:tcPr>
          <w:p>
            <w:pPr>
              <w:pStyle w:val="Compact"/>
            </w:pPr>
            <w:r>
              <w:rPr>
                <w:b/>
              </w:rPr>
              <w:t xml:space="preserve">Date</w:t>
            </w:r>
          </w:p>
        </w:tc>
        <w:tc>
          <w:tcPr>
            <w:tcMar>
              <w:top w:w="100" w:type="dxa"/>
              <w:left w:w="100" w:type="dxa"/>
              <w:bottom w:w="100" w:type="dxa"/>
              <w:right w:w="100" w:type="dxa"/>
            </w:tcMar>
          </w:tcPr>
          <w:p>
            <w:pPr>
              <w:pStyle w:val="Compact"/>
            </w:pPr>
            <w:r>
              <w:rPr>
                <w:b/>
              </w:rPr>
              <w:t xml:space="preserve">Identifiant de l’affirmation</w:t>
            </w:r>
          </w:p>
        </w:tc>
        <w:tc>
          <w:tcPr>
            <w:tcMar>
              <w:top w:w="100" w:type="dxa"/>
              <w:left w:w="100" w:type="dxa"/>
              <w:bottom w:w="100" w:type="dxa"/>
              <w:right w:w="100" w:type="dxa"/>
            </w:tcMar>
          </w:tcPr>
          <w:p>
            <w:pPr>
              <w:pStyle w:val="Compact"/>
            </w:pPr>
            <w:r>
              <w:rPr>
                <w:b/>
              </w:rPr>
              <w:t xml:space="preserve">Ancienne formulation</w:t>
            </w:r>
          </w:p>
        </w:tc>
        <w:tc>
          <w:tcPr>
            <w:tcMar>
              <w:top w:w="100" w:type="dxa"/>
              <w:left w:w="100" w:type="dxa"/>
              <w:bottom w:w="100" w:type="dxa"/>
              <w:right w:w="100" w:type="dxa"/>
            </w:tcMar>
          </w:tcPr>
          <w:p>
            <w:pPr>
              <w:pStyle w:val="Compact"/>
            </w:pPr>
            <w:r>
              <w:rPr>
                <w:b/>
              </w:rPr>
              <w:t xml:space="preserve">Remplacement</w:t>
            </w:r>
          </w:p>
        </w:tc>
        <w:tc>
          <w:tcPr>
            <w:tcMar>
              <w:top w:w="100" w:type="dxa"/>
              <w:left w:w="100" w:type="dxa"/>
              <w:bottom w:w="100" w:type="dxa"/>
              <w:right w:w="100" w:type="dxa"/>
            </w:tcMar>
          </w:tcPr>
          <w:p>
            <w:pPr>
              <w:pStyle w:val="Compact"/>
            </w:pPr>
            <w:r>
              <w:rPr>
                <w:b/>
              </w:rPr>
              <w:t xml:space="preserve">Motif</w:t>
            </w:r>
          </w:p>
        </w:tc>
        <w:tc>
          <w:tcPr>
            <w:tcMar>
              <w:top w:w="100" w:type="dxa"/>
              <w:left w:w="100" w:type="dxa"/>
              <w:bottom w:w="100" w:type="dxa"/>
              <w:right w:w="100" w:type="dxa"/>
            </w:tcMar>
          </w:tcPr>
          <w:p>
            <w:pPr>
              <w:pStyle w:val="Compact"/>
            </w:pPr>
            <w:r>
              <w:rPr>
                <w:b/>
              </w:rPr>
              <w:t xml:space="preserve">Responsable</w:t>
            </w:r>
          </w:p>
        </w:tc>
      </w:tr>
      <w:tr>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c>
          <w:tcPr>
            <w:tcMar>
              <w:top w:w="100" w:type="dxa"/>
              <w:left w:w="100" w:type="dxa"/>
              <w:bottom w:w="100" w:type="dxa"/>
              <w:right w:w="100" w:type="dxa"/>
            </w:tcMar>
          </w:tcPr>
          <w:p>
            <w:pPr>
              <w:pStyle w:val="Compact"/>
            </w:pPr>
            <w:r>
              <w:t xml:space="preserve">[ ]</w:t>
            </w:r>
          </w:p>
        </w:tc>
      </w:tr>
    </w:tbl>
    <w:bookmarkEnd w:id="20"/>
    <w:bookmarkStart w:id="21" w:name="vérification-avant-diffusion"/>
    <w:p>
      <w:pPr>
        <w:pStyle w:val="Heading2"/>
      </w:pPr>
      <w:r>
        <w:t xml:space="preserve">Vérification avant diffusion</w:t>
      </w:r>
    </w:p>
    <w:p>
      <w:pPr>
        <w:pStyle w:val="Compact"/>
        <w:numPr>
          <w:ilvl w:val="0"/>
          <w:numId w:val="1008"/>
        </w:numPr>
      </w:pPr>
      <w:r>
        <w:t xml:space="preserve">Un commercial peut trouver sans aide la question de l’acheteur, une réponse défendable, sa source et la prochaine étape.</w:t>
      </w:r>
    </w:p>
    <w:p>
      <w:pPr>
        <w:pStyle w:val="Compact"/>
        <w:numPr>
          <w:ilvl w:val="0"/>
          <w:numId w:val="1009"/>
        </w:numPr>
      </w:pPr>
      <w:r>
        <w:t xml:space="preserve">Les atouts du concurrent sont présentés équitablement ; les avantages que nous revendiquons ont aussi des preuves.</w:t>
      </w:r>
    </w:p>
    <w:p>
      <w:pPr>
        <w:pStyle w:val="Compact"/>
        <w:numPr>
          <w:ilvl w:val="0"/>
          <w:numId w:val="1010"/>
        </w:numPr>
      </w:pPr>
      <w:r>
        <w:t xml:space="preserve">Les restrictions de forfait, de région, de stade de lancement et de configuration sont visibles.</w:t>
      </w:r>
    </w:p>
    <w:p>
      <w:pPr>
        <w:pStyle w:val="Compact"/>
        <w:numPr>
          <w:ilvl w:val="0"/>
          <w:numId w:val="1011"/>
        </w:numPr>
      </w:pPr>
      <w:r>
        <w:t xml:space="preserve">Les réponses aux objections sonnent naturellement et incluent une prochaine étape orientée vers une décision.</w:t>
      </w:r>
    </w:p>
    <w:p>
      <w:pPr>
        <w:pStyle w:val="Compact"/>
        <w:numPr>
          <w:ilvl w:val="0"/>
          <w:numId w:val="1012"/>
        </w:numPr>
      </w:pPr>
      <w:r>
        <w:t xml:space="preserve">Les tests ouverts sont signalés comme en attente ; aucun résultat hypothétique n’est présenté comme réel.</w:t>
      </w:r>
    </w:p>
    <w:p>
      <w:pPr>
        <w:pStyle w:val="Compact"/>
        <w:numPr>
          <w:ilvl w:val="0"/>
          <w:numId w:val="1013"/>
        </w:numPr>
      </w:pPr>
      <w:r>
        <w:t xml:space="preserve">Les formulations retirées ont été supprimées des présentations et extraits actifs.</w:t>
      </w:r>
    </w:p>
    <w:p>
      <w:pPr>
        <w:pStyle w:val="Compact"/>
        <w:numPr>
          <w:ilvl w:val="0"/>
          <w:numId w:val="1014"/>
        </w:numPr>
      </w:pPr>
      <w:r>
        <w:t xml:space="preserve">Le responsable et le déclencheur de révision sont consignés.</w:t>
      </w:r>
    </w:p>
    <w:p>
      <w:pPr>
        <w:pStyle w:val="FirstParagraph"/>
      </w:pPr>
      <w:r>
        <w:t xml:space="preserve">Guide : https://competitortracker.io/fr/blog/battlecards-go-stale-dossiers-do-not/</w:t>
      </w:r>
    </w:p>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
  </w:num>
  <w:num w:numId="1009">
    <w:abstractNumId w:val="992"/>
  </w:num>
  <w:num w:numId="1010">
    <w:abstractNumId w:val="992"/>
  </w:num>
  <w:num w:numId="1011">
    <w:abstractNumId w:val="992"/>
  </w:num>
  <w:num w:numId="1012">
    <w:abstractNumId w:val="992"/>
  </w:num>
  <w:num w:numId="1013">
    <w:abstractNumId w:val="992"/>
  </w:num>
  <w:num w:numId="1014">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Arial" w:eastAsia="Yu Gothic" w:hAnsi="Arial"/>
        <w:sz w:val="22"/>
        <w:szCs w:val="24"/>
        <w:lang w:bidi="ar-SA" w:eastAsia="zh-CN" w:val="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w:eastAsia="Yu Gothic" w:hAnsi="Arial"/>
      <w:sz w:val="56"/>
      <w:szCs w:val="56"/>
      <w:color w:val="76531C"/>
    </w:rPr>
  </w:style>
  <w:style w:customStyle="1" w:styleId="TitleChar" w:type="character">
    <w:name w:val="Title Char"/>
    <w:basedOn w:val="DefaultParagraphFont"/>
    <w:link w:val="Title"/>
    <w:uiPriority w:val="10"/>
    <w:rsid w:val="00A10FD9"/>
    <w:rPr>
      <w:rFonts w:ascii="Arial" w:eastAsia="Yu Gothic" w:hAnsi="Arial"/>
      <w:sz w:val="56"/>
      <w:szCs w:val="56"/>
    </w:rPr>
  </w:style>
  <w:style w:styleId="Subtitle" w:type="paragraph">
    <w:name w:val="Subtitle"/>
    <w:basedOn w:val="Title"/>
    <w:next w:val="BodyText"/>
    <w:link w:val="SubtitleChar"/>
    <w:uiPriority w:val="11"/>
    <w:qFormat/>
    <w:rsid w:val="00A10FD9"/>
    <w:pPr>
      <w:numPr>
        <w:ilvl w:val="1"/>
      </w:numPr>
    </w:pPr>
    <w:rPr>
      <w:rFonts w:ascii="Arial" w:eastAsia="Yu Gothic" w:hAnsi="Arial"/>
      <w:spacing w:val="15"/>
      <w:sz w:val="28"/>
      <w:szCs w:val="28"/>
    </w:rPr>
  </w:style>
  <w:style w:customStyle="1" w:styleId="SubtitleChar" w:type="character">
    <w:name w:val="Subtitle Char"/>
    <w:basedOn w:val="DefaultParagraphFont"/>
    <w:link w:val="Subtitle"/>
    <w:uiPriority w:val="11"/>
    <w:rsid w:val="00A10FD9"/>
    <w:rPr>
      <w:rFonts w:ascii="Arial" w:eastAsia="Yu Gothic" w:hAnsi="Arial"/>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w:eastAsia="Yu Gothic" w:hAnsi="Arial"/>
      <w:color w:val="76531C"/>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w:eastAsia="Yu Gothic" w:hAnsi="Arial"/>
      <w:color w:val="76531C"/>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w:eastAsia="Yu Gothic" w:hAnsi="Arial"/>
      <w:color w:val="76531C"/>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w:eastAsia="Yu Gothic" w:hAnsi="Arial"/>
      <w:i/>
      <w:iCs/>
      <w:color w:val="76531C"/>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w:eastAsia="Yu Gothic" w:hAnsi="Arial"/>
      <w:color w:val="76531C"/>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w:eastAsia="Yu Gothic" w:hAnsi="Arial"/>
      <w:i/>
      <w:iCs/>
      <w:color w:val="76531C"/>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w:eastAsia="Yu Gothic" w:hAnsi="Arial"/>
      <w:color w:val="76531C"/>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w:eastAsia="Yu Gothic" w:hAnsi="Arial"/>
      <w:i/>
      <w:iCs/>
      <w:color w:val="76531C"/>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w:eastAsia="Yu Gothic" w:hAnsi="Arial"/>
      <w:color w:val="76531C"/>
    </w:rPr>
  </w:style>
  <w:style w:customStyle="1" w:styleId="Heading1Char" w:type="character">
    <w:name w:val="Heading 1 Char"/>
    <w:basedOn w:val="DefaultParagraphFont"/>
    <w:link w:val="Heading1"/>
    <w:uiPriority w:val="9"/>
    <w:rsid w:val="00A10FD9"/>
    <w:rPr>
      <w:rFonts w:ascii="Arial" w:eastAsia="Yu Gothic" w:hAnsi="Arial"/>
      <w:color w:val="76531C"/>
      <w:sz w:val="40"/>
      <w:szCs w:val="40"/>
    </w:rPr>
  </w:style>
  <w:style w:customStyle="1" w:styleId="Heading2Char" w:type="character">
    <w:name w:val="Heading 2 Char"/>
    <w:basedOn w:val="DefaultParagraphFont"/>
    <w:link w:val="Heading2"/>
    <w:uiPriority w:val="9"/>
    <w:semiHidden/>
    <w:rsid w:val="00A10FD9"/>
    <w:rPr>
      <w:rFonts w:ascii="Arial" w:eastAsia="Yu Gothic" w:hAnsi="Arial"/>
      <w:color w:val="76531C"/>
      <w:sz w:val="32"/>
      <w:szCs w:val="32"/>
    </w:rPr>
  </w:style>
  <w:style w:customStyle="1" w:styleId="Heading3Char" w:type="character">
    <w:name w:val="Heading 3 Char"/>
    <w:basedOn w:val="DefaultParagraphFont"/>
    <w:link w:val="Heading3"/>
    <w:uiPriority w:val="9"/>
    <w:semiHidden/>
    <w:rsid w:val="00A10FD9"/>
    <w:rPr>
      <w:rFonts w:ascii="Arial" w:eastAsia="Yu Gothic" w:hAnsi="Arial"/>
      <w:color w:val="76531C"/>
      <w:sz w:val="28"/>
      <w:szCs w:val="28"/>
    </w:rPr>
  </w:style>
  <w:style w:customStyle="1" w:styleId="Heading4Char" w:type="character">
    <w:name w:val="Heading 4 Char"/>
    <w:basedOn w:val="DefaultParagraphFont"/>
    <w:link w:val="Heading4"/>
    <w:uiPriority w:val="9"/>
    <w:semiHidden/>
    <w:rsid w:val="00A10FD9"/>
    <w:rPr>
      <w:rFonts w:ascii="Arial" w:eastAsia="Yu Gothic" w:hAnsi="Arial"/>
      <w:i/>
      <w:iCs/>
      <w:color w:val="76531C"/>
    </w:rPr>
  </w:style>
  <w:style w:customStyle="1" w:styleId="Heading5Char" w:type="character">
    <w:name w:val="Heading 5 Char"/>
    <w:basedOn w:val="DefaultParagraphFont"/>
    <w:link w:val="Heading5"/>
    <w:uiPriority w:val="9"/>
    <w:semiHidden/>
    <w:rsid w:val="00A10FD9"/>
    <w:rPr>
      <w:rFonts w:ascii="Arial" w:eastAsia="Yu Gothic" w:hAnsi="Arial"/>
      <w:color w:val="76531C"/>
    </w:rPr>
  </w:style>
  <w:style w:customStyle="1" w:styleId="Heading6Char" w:type="character">
    <w:name w:val="Heading 6 Char"/>
    <w:basedOn w:val="DefaultParagraphFont"/>
    <w:link w:val="Heading6"/>
    <w:uiPriority w:val="9"/>
    <w:semiHidden/>
    <w:rsid w:val="00A10FD9"/>
    <w:rPr>
      <w:rFonts w:ascii="Arial" w:eastAsia="Yu Gothic" w:hAnsi="Arial"/>
      <w:i/>
      <w:iCs/>
      <w:color w:val="76531C"/>
    </w:rPr>
  </w:style>
  <w:style w:customStyle="1" w:styleId="Heading7Char" w:type="character">
    <w:name w:val="Heading 7 Char"/>
    <w:basedOn w:val="DefaultParagraphFont"/>
    <w:link w:val="Heading7"/>
    <w:uiPriority w:val="9"/>
    <w:semiHidden/>
    <w:rsid w:val="00A10FD9"/>
    <w:rPr>
      <w:rFonts w:ascii="Arial" w:eastAsia="Yu Gothic" w:hAnsi="Arial"/>
      <w:color w:val="76531C"/>
    </w:rPr>
  </w:style>
  <w:style w:customStyle="1" w:styleId="Heading8Char" w:type="character">
    <w:name w:val="Heading 8 Char"/>
    <w:basedOn w:val="DefaultParagraphFont"/>
    <w:link w:val="Heading8"/>
    <w:uiPriority w:val="9"/>
    <w:semiHidden/>
    <w:rsid w:val="00A10FD9"/>
    <w:rPr>
      <w:rFonts w:ascii="Arial" w:eastAsia="Yu Gothic" w:hAnsi="Arial"/>
      <w:i/>
      <w:iCs/>
      <w:color w:val="76531C"/>
    </w:rPr>
  </w:style>
  <w:style w:customStyle="1" w:styleId="Heading9Char" w:type="character">
    <w:name w:val="Heading 9 Char"/>
    <w:basedOn w:val="DefaultParagraphFont"/>
    <w:link w:val="Heading9"/>
    <w:uiPriority w:val="9"/>
    <w:semiHidden/>
    <w:rsid w:val="00A10FD9"/>
    <w:rPr>
      <w:rFonts w:ascii="Arial" w:eastAsia="Yu Gothic" w:hAnsi="Arial"/>
      <w:color w:val="76531C"/>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100"/>
        <w:left w:type="dxa" w:w="100"/>
        <w:bottom w:type="dxa" w:w="100"/>
        <w:right w:type="dxa" w:w="100"/>
      </w:tblCellMar>
      <w:tblBorders>
        <w:top w:color="C8BFAE" w:sz="4" w:val="single"/>
        <w:left w:color="C8BFAE" w:sz="4" w:val="single"/>
        <w:bottom w:color="C8BFAE" w:sz="4" w:val="single"/>
        <w:right w:color="C8BFAE" w:sz="4" w:val="single"/>
        <w:insideH w:color="C8BFAE" w:sz="4" w:val="single"/>
        <w:insideV w:color="C8BFAE"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eastAsia="Yu Gothic"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w:eastAsia="Yu Gothic" w:hAnsi="Arial"/>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fr</dc:language>
  <cp:keywords/>
  <dcterms:created xsi:type="dcterms:W3CDTF">2026-09-10T18:54:34Z</dcterms:created>
  <dcterms:modified xsi:type="dcterms:W3CDTF">2026-09-10T18:54:34Z</dcterms:modified>
</cp:coreProperties>
</file>

<file path=docProps/custom.xml><?xml version="1.0" encoding="utf-8"?>
<Properties xmlns="http://schemas.openxmlformats.org/officeDocument/2006/custom-properties" xmlns:vt="http://schemas.openxmlformats.org/officeDocument/2006/docPropsVTypes"/>
</file>