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>
  <w:body>
    <w:bookmarkStart w:id="22" w:name="X7f69495b8abfdfd1cd4885114bf3ec07af00592"/>
    <w:p>
      <w:pPr>
        <w:pStyle w:val="Heading1"/>
      </w:pPr>
      <w:r>
        <w:t xml:space="preserve">Sales battlecard — [competitor] / [buyer use case]</w:t>
      </w:r>
    </w:p>
    <w:p>
      <w:pPr>
        <w:pStyle w:val="FirstParagraph"/>
      </w:pPr>
      <w:r>
        <w:t xml:space="preserve">Internal working template. Fill every bracket with evidence or mark the field unknown. Do not share confidential deal notes externally. Keep the call sheet short; retain detailed evidence below it.</w:t>
      </w:r>
    </w:p>
    <w:bookmarkStart w:id="18" w:name="call-sheet"/>
    <w:p>
      <w:pPr>
        <w:pStyle w:val="Heading2"/>
      </w:pPr>
      <w:r>
        <w:t xml:space="preserve">Call sheet</w:t>
      </w:r>
    </w:p>
    <w:p>
      <w:pPr>
        <w:pStyle w:val="FirstParagraph"/>
      </w:pPr>
      <w:r>
        <w:rPr>
          <w:b/>
          <w:bCs/>
        </w:rPr>
        <w:t xml:space="preserve">Card owner:</w:t>
      </w:r>
      <w:r>
        <w:t xml:space="preserve"> </w:t>
      </w:r>
      <w:r>
        <w:t xml:space="preserve">[name]</w:t>
      </w:r>
      <w:r>
        <w:br/>
      </w:r>
      <w:r>
        <w:rPr>
          <w:b/>
          <w:bCs/>
        </w:rPr>
        <w:t xml:space="preserve">Version / last full review:</w:t>
      </w:r>
      <w:r>
        <w:t xml:space="preserve"> </w:t>
      </w:r>
      <w:r>
        <w:t xml:space="preserve">[date]</w:t>
      </w:r>
      <w:r>
        <w:br/>
      </w:r>
      <w:r>
        <w:rPr>
          <w:b/>
          <w:bCs/>
        </w:rPr>
        <w:t xml:space="preserve">Applicable buyer, product and plans:</w:t>
      </w:r>
      <w:r>
        <w:t xml:space="preserve"> </w:t>
      </w:r>
      <w:r>
        <w:t xml:space="preserve">[scope]</w:t>
      </w:r>
      <w:r>
        <w:br/>
      </w:r>
      <w:r>
        <w:rPr>
          <w:b/>
          <w:bCs/>
        </w:rPr>
        <w:t xml:space="preserve">Use this card when:</w:t>
      </w:r>
      <w:r>
        <w:t xml:space="preserve"> </w:t>
      </w:r>
      <w:r>
        <w:t xml:space="preserve">[specific buying situation]</w:t>
      </w:r>
      <w:r>
        <w:br/>
      </w:r>
      <w:r>
        <w:rPr>
          <w:b/>
          <w:bCs/>
        </w:rPr>
        <w:t xml:space="preserve">Do not use it when:</w:t>
      </w:r>
      <w:r>
        <w:t xml:space="preserve"> </w:t>
      </w:r>
      <w:r>
        <w:t xml:space="preserve">[different use case / plan / geography]</w:t>
      </w:r>
    </w:p>
    <w:bookmarkStart w:id="9" w:name="deal-context"/>
    <w:p>
      <w:pPr>
        <w:pStyle w:val="Heading3"/>
      </w:pPr>
      <w:r>
        <w:t xml:space="preserve">1. Deal context</w:t>
      </w:r>
    </w:p>
    <w:p>
      <w:pPr>
        <w:pStyle w:val="Compact"/>
        <w:numPr>
          <w:ilvl w:val="0"/>
          <w:numId w:val="1001"/>
        </w:numPr>
      </w:pPr>
      <w:r>
        <w:t xml:space="preserve">Buyer role and job: [ ]</w:t>
      </w:r>
    </w:p>
    <w:p>
      <w:pPr>
        <w:pStyle w:val="Compact"/>
        <w:numPr>
          <w:ilvl w:val="0"/>
          <w:numId w:val="1001"/>
        </w:numPr>
      </w:pPr>
      <w:r>
        <w:t xml:space="preserve">Current product or process: [ ]</w:t>
      </w:r>
    </w:p>
    <w:p>
      <w:pPr>
        <w:pStyle w:val="Compact"/>
        <w:numPr>
          <w:ilvl w:val="0"/>
          <w:numId w:val="1001"/>
        </w:numPr>
      </w:pPr>
      <w:r>
        <w:t xml:space="preserve">Reason for evaluating now: [ ]</w:t>
      </w:r>
    </w:p>
    <w:p>
      <w:pPr>
        <w:pStyle w:val="Compact"/>
        <w:numPr>
          <w:ilvl w:val="0"/>
          <w:numId w:val="1001"/>
        </w:numPr>
      </w:pPr>
      <w:r>
        <w:t xml:space="preserve">Decision owner and other evaluators: [ ]</w:t>
      </w:r>
    </w:p>
    <w:p>
      <w:pPr>
        <w:pStyle w:val="Compact"/>
        <w:numPr>
          <w:ilvl w:val="0"/>
          <w:numId w:val="1001"/>
        </w:numPr>
      </w:pPr>
      <w:r>
        <w:t xml:space="preserve">Required outcome and how the buyer measures it: [ ]</w:t>
      </w:r>
    </w:p>
    <w:p>
      <w:pPr>
        <w:pStyle w:val="Compact"/>
        <w:numPr>
          <w:ilvl w:val="0"/>
          <w:numId w:val="1001"/>
        </w:numPr>
      </w:pPr>
      <w:r>
        <w:t xml:space="preserve">Must-have requirements: [ ]</w:t>
      </w:r>
    </w:p>
    <w:p>
      <w:pPr>
        <w:pStyle w:val="Compact"/>
        <w:numPr>
          <w:ilvl w:val="0"/>
          <w:numId w:val="1001"/>
        </w:numPr>
      </w:pPr>
      <w:r>
        <w:t xml:space="preserve">Budget, renewal and implementation constraints: [ ]</w:t>
      </w:r>
    </w:p>
    <w:bookmarkEnd w:id="9"/>
    <w:bookmarkStart w:id="10" w:name="fair-competitive-position"/>
    <w:p>
      <w:pPr>
        <w:pStyle w:val="Heading3"/>
      </w:pPr>
      <w:r>
        <w:t xml:space="preserve">2. Fair competitive position</w:t>
      </w:r>
    </w:p>
    <w:p>
      <w:pPr>
        <w:pStyle w:val="Compact"/>
        <w:numPr>
          <w:ilvl w:val="0"/>
          <w:numId w:val="1002"/>
        </w:numPr>
      </w:pPr>
      <w:r>
        <w:t xml:space="preserve">Their credible strengths, with evidence: [ ]</w:t>
      </w:r>
    </w:p>
    <w:p>
      <w:pPr>
        <w:pStyle w:val="Compact"/>
        <w:numPr>
          <w:ilvl w:val="0"/>
          <w:numId w:val="1002"/>
        </w:numPr>
      </w:pPr>
      <w:r>
        <w:t xml:space="preserve">Reasons they may be the better fit: [ ]</w:t>
      </w:r>
    </w:p>
    <w:p>
      <w:pPr>
        <w:pStyle w:val="Compact"/>
        <w:numPr>
          <w:ilvl w:val="0"/>
          <w:numId w:val="1002"/>
        </w:numPr>
      </w:pPr>
      <w:r>
        <w:t xml:space="preserve">Our relevant strengths, with evidence: [ ]</w:t>
      </w:r>
    </w:p>
    <w:p>
      <w:pPr>
        <w:pStyle w:val="Compact"/>
        <w:numPr>
          <w:ilvl w:val="0"/>
          <w:numId w:val="1002"/>
        </w:numPr>
      </w:pPr>
      <w:r>
        <w:t xml:space="preserve">Conditions that justify evaluating us: [ ]</w:t>
      </w:r>
    </w:p>
    <w:p>
      <w:pPr>
        <w:pStyle w:val="Compact"/>
        <w:numPr>
          <w:ilvl w:val="0"/>
          <w:numId w:val="1002"/>
        </w:numPr>
      </w:pPr>
      <w:r>
        <w:t xml:space="preserve">Conditions under which we should stop pushing a replacement: [ ]</w:t>
      </w:r>
    </w:p>
    <w:bookmarkEnd w:id="10"/>
    <w:bookmarkStart w:id="11" w:name="X3c1ff27c068f458778cdbdf162f37b9d0f0b1a1"/>
    <w:p>
      <w:pPr>
        <w:pStyle w:val="Heading3"/>
      </w:pPr>
      <w:r>
        <w:t xml:space="preserve">3. Discovery — repeat for each decision-critical requirement</w:t>
      </w:r>
    </w:p>
    <w:p>
      <w:pPr>
        <w:pStyle w:val="Compact"/>
        <w:numPr>
          <w:ilvl w:val="0"/>
          <w:numId w:val="1003"/>
        </w:numPr>
      </w:pPr>
      <w:r>
        <w:t xml:space="preserve">Opening question: [ ]</w:t>
      </w:r>
    </w:p>
    <w:p>
      <w:pPr>
        <w:pStyle w:val="Compact"/>
        <w:numPr>
          <w:ilvl w:val="0"/>
          <w:numId w:val="1003"/>
        </w:numPr>
      </w:pPr>
      <w:r>
        <w:t xml:space="preserve">Follow-up that clarifies scope: [ ]</w:t>
      </w:r>
    </w:p>
    <w:p>
      <w:pPr>
        <w:pStyle w:val="Compact"/>
        <w:numPr>
          <w:ilvl w:val="0"/>
          <w:numId w:val="1003"/>
        </w:numPr>
      </w:pPr>
      <w:r>
        <w:t xml:space="preserve">If answer A: [what to verify / show / do]</w:t>
      </w:r>
    </w:p>
    <w:p>
      <w:pPr>
        <w:pStyle w:val="Compact"/>
        <w:numPr>
          <w:ilvl w:val="0"/>
          <w:numId w:val="1003"/>
        </w:numPr>
      </w:pPr>
      <w:r>
        <w:t xml:space="preserve">If answer B: [different path]</w:t>
      </w:r>
    </w:p>
    <w:p>
      <w:pPr>
        <w:pStyle w:val="Compact"/>
        <w:numPr>
          <w:ilvl w:val="0"/>
          <w:numId w:val="1003"/>
        </w:numPr>
      </w:pPr>
      <w:r>
        <w:t xml:space="preserve">Stop condition: [ ]</w:t>
      </w:r>
    </w:p>
    <w:bookmarkEnd w:id="11"/>
    <w:bookmarkStart w:id="12" w:name="Xe86685d5e05f11c6bb15bd6c8a45e34009d3498"/>
    <w:p>
      <w:pPr>
        <w:pStyle w:val="Heading3"/>
      </w:pPr>
      <w:r>
        <w:t xml:space="preserve">4. Proven differences — include only those relevant to this buyer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C8BFAE"/>
          <w:left w:val="single" w:sz="4" w:color="C8BFAE"/>
          <w:bottom w:val="single" w:sz="4" w:color="C8BFAE"/>
          <w:right w:val="single" w:sz="4" w:color="C8BFAE"/>
          <w:insideH w:val="single" w:sz="4" w:color="C8BFAE"/>
          <w:insideV w:val="single" w:sz="4" w:color="C8BFAE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Buyer requirement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Their verified capability + limit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Our verified capability + limit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Buyer consequence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Proof / claim IDs</w:t>
            </w:r>
          </w:p>
        </w:tc>
      </w:tr>
      <w:t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</w:tr>
    </w:tbl>
    <w:p>
      <w:pPr>
        <w:pStyle w:val="BodyText"/>
      </w:pPr>
      <w:r>
        <w:t xml:space="preserve">For each difference:</w:t>
      </w:r>
    </w:p>
    <w:p>
      <w:pPr>
        <w:pStyle w:val="Compact"/>
        <w:numPr>
          <w:ilvl w:val="0"/>
          <w:numId w:val="1004"/>
        </w:numPr>
      </w:pPr>
      <w:r>
        <w:t xml:space="preserve">Approved wording: [ ]</w:t>
      </w:r>
    </w:p>
    <w:p>
      <w:pPr>
        <w:pStyle w:val="Compact"/>
        <w:numPr>
          <w:ilvl w:val="0"/>
          <w:numId w:val="1004"/>
        </w:numPr>
      </w:pPr>
      <w:r>
        <w:t xml:space="preserve">Qualification that must be said aloud: [ ]</w:t>
      </w:r>
    </w:p>
    <w:p>
      <w:pPr>
        <w:pStyle w:val="Compact"/>
        <w:numPr>
          <w:ilvl w:val="0"/>
          <w:numId w:val="1004"/>
        </w:numPr>
      </w:pPr>
      <w:r>
        <w:t xml:space="preserve">When this difference does not matter: [ ]</w:t>
      </w:r>
    </w:p>
    <w:p>
      <w:pPr>
        <w:pStyle w:val="Compact"/>
        <w:numPr>
          <w:ilvl w:val="0"/>
          <w:numId w:val="1004"/>
        </w:numPr>
      </w:pPr>
      <w:r>
        <w:t xml:space="preserve">If we lack proof: ask [question] instead of asserting a win.</w:t>
      </w:r>
    </w:p>
    <w:bookmarkEnd w:id="12"/>
    <w:bookmarkStart w:id="13" w:name="objections"/>
    <w:p>
      <w:pPr>
        <w:pStyle w:val="Heading3"/>
      </w:pPr>
      <w:r>
        <w:t xml:space="preserve">5. Objections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C8BFAE"/>
          <w:left w:val="single" w:sz="4" w:color="C8BFAE"/>
          <w:bottom w:val="single" w:sz="4" w:color="C8BFAE"/>
          <w:right w:val="single" w:sz="4" w:color="C8BFAE"/>
          <w:insideH w:val="single" w:sz="4" w:color="C8BFAE"/>
          <w:insideV w:val="single" w:sz="4" w:color="C8BFAE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Buyer objection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Acknowledge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Clarify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Proof to show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Agreed next step</w:t>
            </w:r>
          </w:p>
        </w:tc>
      </w:tr>
      <w:t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We already have that.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They are cheaper.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Switching is too much work.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</w:tr>
      <w:t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They are good enough.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</w:tr>
    </w:tbl>
    <w:bookmarkEnd w:id="13"/>
    <w:bookmarkStart w:id="14" w:name="fair-evaluation"/>
    <w:p>
      <w:pPr>
        <w:pStyle w:val="Heading3"/>
      </w:pPr>
      <w:r>
        <w:t xml:space="preserve">6. Fair evaluation</w:t>
      </w:r>
    </w:p>
    <w:p>
      <w:pPr>
        <w:pStyle w:val="Compact"/>
        <w:numPr>
          <w:ilvl w:val="0"/>
          <w:numId w:val="1005"/>
        </w:numPr>
      </w:pPr>
      <w:r>
        <w:t xml:space="preserve">Buyer task and authorized test data: [ ]</w:t>
      </w:r>
    </w:p>
    <w:p>
      <w:pPr>
        <w:pStyle w:val="Compact"/>
        <w:numPr>
          <w:ilvl w:val="0"/>
          <w:numId w:val="1005"/>
        </w:numPr>
      </w:pPr>
      <w:r>
        <w:t xml:space="preserve">Same conditions for both vendors: [ ]</w:t>
      </w:r>
    </w:p>
    <w:p>
      <w:pPr>
        <w:pStyle w:val="Compact"/>
        <w:numPr>
          <w:ilvl w:val="0"/>
          <w:numId w:val="1005"/>
        </w:numPr>
      </w:pPr>
      <w:r>
        <w:t xml:space="preserve">Expected output / pass criteria agreed with buyer: [ ]</w:t>
      </w:r>
    </w:p>
    <w:p>
      <w:pPr>
        <w:pStyle w:val="Compact"/>
        <w:numPr>
          <w:ilvl w:val="0"/>
          <w:numId w:val="1005"/>
        </w:numPr>
      </w:pPr>
      <w:r>
        <w:t xml:space="preserve">Access, setup and dependencies: [ ]</w:t>
      </w:r>
    </w:p>
    <w:p>
      <w:pPr>
        <w:pStyle w:val="Compact"/>
        <w:numPr>
          <w:ilvl w:val="0"/>
          <w:numId w:val="1005"/>
        </w:numPr>
      </w:pPr>
      <w:r>
        <w:t xml:space="preserve">Test steps: [ ]</w:t>
      </w:r>
    </w:p>
    <w:p>
      <w:pPr>
        <w:pStyle w:val="Compact"/>
        <w:numPr>
          <w:ilvl w:val="0"/>
          <w:numId w:val="1005"/>
        </w:numPr>
      </w:pPr>
      <w:r>
        <w:t xml:space="preserve">Failure/recovery check: [ ]</w:t>
      </w:r>
    </w:p>
    <w:p>
      <w:pPr>
        <w:pStyle w:val="Compact"/>
        <w:numPr>
          <w:ilvl w:val="0"/>
          <w:numId w:val="1005"/>
        </w:numPr>
      </w:pPr>
      <w:r>
        <w:t xml:space="preserve">Actual result and artifact link: [unknown until tested]</w:t>
      </w:r>
    </w:p>
    <w:p>
      <w:pPr>
        <w:pStyle w:val="Compact"/>
        <w:numPr>
          <w:ilvl w:val="0"/>
          <w:numId w:val="1005"/>
        </w:numPr>
      </w:pPr>
      <w:r>
        <w:t xml:space="preserve">Remaining uncertainty: [ ]</w:t>
      </w:r>
    </w:p>
    <w:p>
      <w:pPr>
        <w:pStyle w:val="Compact"/>
        <w:numPr>
          <w:ilvl w:val="0"/>
          <w:numId w:val="1005"/>
        </w:numPr>
      </w:pPr>
      <w:r>
        <w:t xml:space="preserve">Product specialist and buyer evaluator: [names]</w:t>
      </w:r>
    </w:p>
    <w:bookmarkEnd w:id="14"/>
    <w:bookmarkStart w:id="15" w:name="commercial-and-switching-checks"/>
    <w:p>
      <w:pPr>
        <w:pStyle w:val="Heading3"/>
      </w:pPr>
      <w:r>
        <w:t xml:space="preserve">7. Commercial and switching checks</w:t>
      </w:r>
    </w:p>
    <w:p>
      <w:pPr>
        <w:pStyle w:val="Compact"/>
        <w:numPr>
          <w:ilvl w:val="0"/>
          <w:numId w:val="1006"/>
        </w:numPr>
      </w:pPr>
      <w:r>
        <w:t xml:space="preserve">Relevant plan and license assignment: [ ]</w:t>
      </w:r>
    </w:p>
    <w:p>
      <w:pPr>
        <w:pStyle w:val="Compact"/>
        <w:numPr>
          <w:ilvl w:val="0"/>
          <w:numId w:val="1006"/>
        </w:numPr>
      </w:pPr>
      <w:r>
        <w:t xml:space="preserve">Required seats and workload assumptions: [ ]</w:t>
      </w:r>
    </w:p>
    <w:p>
      <w:pPr>
        <w:pStyle w:val="Compact"/>
        <w:numPr>
          <w:ilvl w:val="0"/>
          <w:numId w:val="1006"/>
        </w:numPr>
      </w:pPr>
      <w:r>
        <w:t xml:space="preserve">Included features vs add-ons / usage charges: [ ]</w:t>
      </w:r>
    </w:p>
    <w:p>
      <w:pPr>
        <w:pStyle w:val="Compact"/>
        <w:numPr>
          <w:ilvl w:val="0"/>
          <w:numId w:val="1006"/>
        </w:numPr>
      </w:pPr>
      <w:r>
        <w:t xml:space="preserve">Billing period, minimums and contract conditions: [ ]</w:t>
      </w:r>
    </w:p>
    <w:p>
      <w:pPr>
        <w:pStyle w:val="Compact"/>
        <w:numPr>
          <w:ilvl w:val="0"/>
          <w:numId w:val="1006"/>
        </w:numPr>
      </w:pPr>
      <w:r>
        <w:t xml:space="preserve">Export/import availability and limits: [ ]</w:t>
      </w:r>
    </w:p>
    <w:p>
      <w:pPr>
        <w:pStyle w:val="Compact"/>
        <w:numPr>
          <w:ilvl w:val="0"/>
          <w:numId w:val="1006"/>
        </w:numPr>
      </w:pPr>
      <w:r>
        <w:t xml:space="preserve">Data that cannot be moved or recovered: [ ]</w:t>
      </w:r>
    </w:p>
    <w:p>
      <w:pPr>
        <w:pStyle w:val="Compact"/>
        <w:numPr>
          <w:ilvl w:val="0"/>
          <w:numId w:val="1006"/>
        </w:numPr>
      </w:pPr>
      <w:r>
        <w:t xml:space="preserve">Admin permissions and security/legal checks: [ ]</w:t>
      </w:r>
    </w:p>
    <w:p>
      <w:pPr>
        <w:pStyle w:val="Compact"/>
        <w:numPr>
          <w:ilvl w:val="0"/>
          <w:numId w:val="1006"/>
        </w:numPr>
      </w:pPr>
      <w:r>
        <w:t xml:space="preserve">Migration work, owner and dependencies: [ ]</w:t>
      </w:r>
    </w:p>
    <w:p>
      <w:pPr>
        <w:pStyle w:val="Compact"/>
        <w:numPr>
          <w:ilvl w:val="0"/>
          <w:numId w:val="1006"/>
        </w:numPr>
      </w:pPr>
      <w:r>
        <w:t xml:space="preserve">Renewal / implementation dates confirmed by buyer: [ ]</w:t>
      </w:r>
    </w:p>
    <w:p>
      <w:pPr>
        <w:pStyle w:val="Compact"/>
        <w:numPr>
          <w:ilvl w:val="0"/>
          <w:numId w:val="1006"/>
        </w:numPr>
      </w:pPr>
      <w:r>
        <w:t xml:space="preserve">Complete comparable offer on each side: [ ]</w:t>
      </w:r>
    </w:p>
    <w:bookmarkEnd w:id="15"/>
    <w:bookmarkStart w:id="16" w:name="next-step"/>
    <w:p>
      <w:pPr>
        <w:pStyle w:val="Heading3"/>
      </w:pPr>
      <w:r>
        <w:t xml:space="preserve">8. Next step</w:t>
      </w:r>
    </w:p>
    <w:p>
      <w:pPr>
        <w:pStyle w:val="Compact"/>
        <w:numPr>
          <w:ilvl w:val="0"/>
          <w:numId w:val="1007"/>
        </w:numPr>
      </w:pPr>
      <w:r>
        <w:t xml:space="preserve">Main question to resolve: [ ]</w:t>
      </w:r>
    </w:p>
    <w:p>
      <w:pPr>
        <w:pStyle w:val="Compact"/>
        <w:numPr>
          <w:ilvl w:val="0"/>
          <w:numId w:val="1007"/>
        </w:numPr>
      </w:pPr>
      <w:r>
        <w:t xml:space="preserve">Buyer owner / our owner: [ ]</w:t>
      </w:r>
    </w:p>
    <w:p>
      <w:pPr>
        <w:pStyle w:val="Compact"/>
        <w:numPr>
          <w:ilvl w:val="0"/>
          <w:numId w:val="1007"/>
        </w:numPr>
      </w:pPr>
      <w:r>
        <w:t xml:space="preserve">Required artifact or decision: [ ]</w:t>
      </w:r>
    </w:p>
    <w:p>
      <w:pPr>
        <w:pStyle w:val="Compact"/>
        <w:numPr>
          <w:ilvl w:val="0"/>
          <w:numId w:val="1007"/>
        </w:numPr>
      </w:pPr>
      <w:r>
        <w:t xml:space="preserve">Agreed date: [ ]</w:t>
      </w:r>
    </w:p>
    <w:bookmarkEnd w:id="16"/>
    <w:bookmarkStart w:id="17" w:name="do-not-say"/>
    <w:p>
      <w:pPr>
        <w:pStyle w:val="Heading3"/>
      </w:pPr>
      <w:r>
        <w:t xml:space="preserve">9. Do not say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C8BFAE"/>
          <w:left w:val="single" w:sz="4" w:color="C8BFAE"/>
          <w:bottom w:val="single" w:sz="4" w:color="C8BFAE"/>
          <w:right w:val="single" w:sz="4" w:color="C8BFAE"/>
          <w:insideH w:val="single" w:sz="4" w:color="C8BFAE"/>
          <w:insideV w:val="single" w:sz="4" w:color="C8BFAE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Retired or unverified wording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Reason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Replacement question or approved line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Claim ID</w:t>
            </w:r>
          </w:p>
        </w:tc>
      </w:tr>
      <w:t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</w:tr>
    </w:tbl>
    <w:bookmarkEnd w:id="17"/>
    <w:bookmarkEnd w:id="18"/>
    <w:bookmarkStart w:id="19" w:name="evidence-notes-repeat-per-material-claim"/>
    <w:p>
      <w:pPr>
        <w:pStyle w:val="Heading2"/>
      </w:pPr>
      <w:r>
        <w:t xml:space="preserve">Evidence notes — repeat per material claim</w:t>
      </w:r>
    </w:p>
    <w:p>
      <w:pPr>
        <w:pStyle w:val="FirstParagraph"/>
      </w:pPr>
      <w:r>
        <w:rPr>
          <w:b/>
          <w:bCs/>
        </w:rPr>
        <w:t xml:space="preserve">Claim ID:</w:t>
      </w:r>
      <w:r>
        <w:t xml:space="preserve"> </w:t>
      </w:r>
      <w:r>
        <w:t xml:space="preserve">[stable identifier]</w:t>
      </w:r>
      <w:r>
        <w:br/>
      </w:r>
      <w:r>
        <w:rPr>
          <w:b/>
          <w:bCs/>
        </w:rPr>
        <w:t xml:space="preserve">Exact claim:</w:t>
      </w:r>
      <w:r>
        <w:t xml:space="preserve"> </w:t>
      </w:r>
      <w:r>
        <w:t xml:space="preserve">[one testable sentence]</w:t>
      </w:r>
      <w:r>
        <w:br/>
      </w:r>
      <w:r>
        <w:rPr>
          <w:b/>
          <w:bCs/>
        </w:rPr>
        <w:t xml:space="preserve">Scope:</w:t>
      </w:r>
      <w:r>
        <w:t xml:space="preserve"> </w:t>
      </w:r>
      <w:r>
        <w:t xml:space="preserve">[product / plan / region / release stage / buyer setup]</w:t>
      </w:r>
      <w:r>
        <w:br/>
      </w:r>
      <w:r>
        <w:rPr>
          <w:b/>
          <w:bCs/>
        </w:rPr>
        <w:t xml:space="preserve">Competitor source URL: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Exact excerpt and saved capture: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Our source or repeatable test: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Observed change date:</w:t>
      </w:r>
      <w:r>
        <w:t xml:space="preserve"> </w:t>
      </w:r>
      <w:r>
        <w:t xml:space="preserve">[if known; do not substitute capture date]</w:t>
      </w:r>
      <w:r>
        <w:br/>
      </w:r>
      <w:r>
        <w:rPr>
          <w:b/>
          <w:bCs/>
        </w:rPr>
        <w:t xml:space="preserve">Last verified date: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Verified by:</w:t>
      </w:r>
      <w:r>
        <w:t xml:space="preserve"> </w:t>
      </w:r>
      <w:r>
        <w:t xml:space="preserve">[name]</w:t>
      </w:r>
      <w:r>
        <w:br/>
      </w:r>
      <w:r>
        <w:rPr>
          <w:b/>
          <w:bCs/>
        </w:rPr>
        <w:t xml:space="preserve">Evidence level:</w:t>
      </w:r>
      <w:r>
        <w:t xml:space="preserve"> </w:t>
      </w:r>
      <w:r>
        <w:t xml:space="preserve">[vendor-documented / tested / buyer-reported / unverified]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[usable / check before use / withdrawn]</w:t>
      </w:r>
      <w:r>
        <w:br/>
      </w:r>
      <w:r>
        <w:rPr>
          <w:b/>
          <w:bCs/>
        </w:rPr>
        <w:t xml:space="preserve">Approved wording + necessary qualification: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Evidence does not establish: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Next review date or event: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Affected cards, decks, snippets and active deals:</w:t>
      </w:r>
      <w:r>
        <w:t xml:space="preserve"> </w:t>
      </w:r>
      <w:r>
        <w:t xml:space="preserve">[ ]</w:t>
      </w:r>
    </w:p>
    <w:p>
      <w:pPr>
        <w:pStyle w:val="BodyText"/>
      </w:pPr>
      <w:r>
        <w:t xml:space="preserve">Usable applies to the exact approved wording within scope. Vendor documentation proves what the vendor states, not successful performance in a buyer environment. Unknown claims stay out of assertions; use discovery questions instead.</w:t>
      </w:r>
    </w:p>
    <w:bookmarkEnd w:id="19"/>
    <w:bookmarkStart w:id="20" w:name="change-log"/>
    <w:p>
      <w:pPr>
        <w:pStyle w:val="Heading2"/>
      </w:pPr>
      <w:r>
        <w:t xml:space="preserve">Change log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C8BFAE"/>
          <w:left w:val="single" w:sz="4" w:color="C8BFAE"/>
          <w:bottom w:val="single" w:sz="4" w:color="C8BFAE"/>
          <w:right w:val="single" w:sz="4" w:color="C8BFAE"/>
          <w:insideH w:val="single" w:sz="4" w:color="C8BFAE"/>
          <w:insideV w:val="single" w:sz="4" w:color="C8BFAE"/>
        </w:tblBorders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Date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Claim ID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Old wording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Replacement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Reason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rPr>
                <w:b/>
              </w:rPr>
              <w:t xml:space="preserve">Owner</w:t>
            </w:r>
          </w:p>
        </w:tc>
      </w:tr>
      <w:tr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Compact"/>
            </w:pPr>
            <w:r>
              <w:t xml:space="preserve">[ ]</w:t>
            </w:r>
          </w:p>
        </w:tc>
      </w:tr>
    </w:tbl>
    <w:bookmarkEnd w:id="20"/>
    <w:bookmarkStart w:id="21" w:name="release-check"/>
    <w:p>
      <w:pPr>
        <w:pStyle w:val="Heading2"/>
      </w:pPr>
      <w:r>
        <w:t xml:space="preserve">Release check</w:t>
      </w:r>
    </w:p>
    <w:p>
      <w:pPr>
        <w:pStyle w:val="Compact"/>
        <w:numPr>
          <w:ilvl w:val="0"/>
          <w:numId w:val="1008"/>
        </w:numPr>
      </w:pPr>
      <w:r>
        <w:t xml:space="preserve">A rep can find the buyer question, defensible answer, source and next step without help.</w:t>
      </w:r>
    </w:p>
    <w:p>
      <w:pPr>
        <w:pStyle w:val="Compact"/>
        <w:numPr>
          <w:ilvl w:val="0"/>
          <w:numId w:val="1009"/>
        </w:numPr>
      </w:pPr>
      <w:r>
        <w:t xml:space="preserve">Competitor strengths are fair; our claimed advantages have evidence too.</w:t>
      </w:r>
    </w:p>
    <w:p>
      <w:pPr>
        <w:pStyle w:val="Compact"/>
        <w:numPr>
          <w:ilvl w:val="0"/>
          <w:numId w:val="1010"/>
        </w:numPr>
      </w:pPr>
      <w:r>
        <w:t xml:space="preserve">Plan, region, release-stage and configuration restrictions are visible.</w:t>
      </w:r>
    </w:p>
    <w:p>
      <w:pPr>
        <w:pStyle w:val="Compact"/>
        <w:numPr>
          <w:ilvl w:val="0"/>
          <w:numId w:val="1011"/>
        </w:numPr>
      </w:pPr>
      <w:r>
        <w:t xml:space="preserve">Objection responses sound natural and include a decision-oriented next step.</w:t>
      </w:r>
    </w:p>
    <w:p>
      <w:pPr>
        <w:pStyle w:val="Compact"/>
        <w:numPr>
          <w:ilvl w:val="0"/>
          <w:numId w:val="1012"/>
        </w:numPr>
      </w:pPr>
      <w:r>
        <w:t xml:space="preserve">Open tests are labeled pending; no hypothetical results presented as real.</w:t>
      </w:r>
    </w:p>
    <w:p>
      <w:pPr>
        <w:pStyle w:val="Compact"/>
        <w:numPr>
          <w:ilvl w:val="0"/>
          <w:numId w:val="1013"/>
        </w:numPr>
      </w:pPr>
      <w:r>
        <w:t xml:space="preserve">Retired wording removed from active decks and snippets.</w:t>
      </w:r>
    </w:p>
    <w:p>
      <w:pPr>
        <w:pStyle w:val="Compact"/>
        <w:numPr>
          <w:ilvl w:val="0"/>
          <w:numId w:val="1014"/>
        </w:numPr>
      </w:pPr>
      <w:r>
        <w:t xml:space="preserve">Owner and review trigger recorded.</w:t>
      </w:r>
    </w:p>
    <w:p>
      <w:pPr>
        <w:pStyle w:val="FirstParagraph"/>
      </w:pPr>
      <w:r>
        <w:t xml:space="preserve">Guide: https://competitortracker.io/blog/battlecards-go-stale-dossiers-do-not/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eastAsia="Yu Gothic" w:hAnsi="Arial"/>
        <w:sz w:val="22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" w:eastAsia="Yu Gothic" w:hAnsi="Arial"/>
      <w:sz w:val="56"/>
      <w:szCs w:val="56"/>
      <w:color w:val="76531C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eastAsia="Yu Gothic" w:hAnsi="Arial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" w:eastAsia="Yu Gothic" w:hAnsi="Arial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eastAsia="Yu Gothic" w:hAnsi="Arial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" w:eastAsia="Yu Gothic" w:hAnsi="Arial"/>
      <w:color w:val="76531C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" w:eastAsia="Yu Gothic" w:hAnsi="Arial"/>
      <w:color w:val="76531C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" w:eastAsia="Yu Gothic" w:hAnsi="Arial"/>
      <w:color w:val="76531C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" w:eastAsia="Yu Gothic" w:hAnsi="Arial"/>
      <w:i/>
      <w:iCs/>
      <w:color w:val="76531C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" w:eastAsia="Yu Gothic" w:hAnsi="Arial"/>
      <w:color w:val="76531C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" w:eastAsia="Yu Gothic" w:hAnsi="Arial"/>
      <w:i/>
      <w:iCs/>
      <w:color w:val="76531C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" w:eastAsia="Yu Gothic" w:hAnsi="Arial"/>
      <w:color w:val="76531C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" w:eastAsia="Yu Gothic" w:hAnsi="Arial"/>
      <w:i/>
      <w:iCs/>
      <w:color w:val="76531C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" w:eastAsia="Yu Gothic" w:hAnsi="Arial"/>
      <w:color w:val="76531C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eastAsia="Yu Gothic" w:hAnsi="Arial"/>
      <w:color w:val="76531C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eastAsia="Yu Gothic" w:hAnsi="Arial"/>
      <w:color w:val="76531C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eastAsia="Yu Gothic" w:hAnsi="Arial"/>
      <w:color w:val="76531C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eastAsia="Yu Gothic" w:hAnsi="Arial"/>
      <w:i/>
      <w:iCs/>
      <w:color w:val="76531C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eastAsia="Yu Gothic" w:hAnsi="Arial"/>
      <w:color w:val="76531C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eastAsia="Yu Gothic" w:hAnsi="Arial"/>
      <w:i/>
      <w:iCs/>
      <w:color w:val="76531C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eastAsia="Yu Gothic" w:hAnsi="Arial"/>
      <w:color w:val="76531C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eastAsia="Yu Gothic" w:hAnsi="Arial"/>
      <w:i/>
      <w:iCs/>
      <w:color w:val="76531C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eastAsia="Yu Gothic" w:hAnsi="Arial"/>
      <w:color w:val="76531C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100"/>
        <w:left w:type="dxa" w:w="100"/>
        <w:bottom w:type="dxa" w:w="100"/>
        <w:right w:type="dxa" w:w="100"/>
      </w:tblCellMar>
      <w:tblBorders>
        <w:top w:color="C8BFAE" w:sz="4" w:val="single"/>
        <w:left w:color="C8BFAE" w:sz="4" w:val="single"/>
        <w:bottom w:color="C8BFAE" w:sz="4" w:val="single"/>
        <w:right w:color="C8BFAE" w:sz="4" w:val="single"/>
        <w:insideH w:color="C8BFAE" w:sz="4" w:val="single"/>
        <w:insideV w:color="C8BFAE" w:sz="4" w:val="single"/>
      </w:tblBorders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" w:eastAsia="Yu Gothic" w:hAnsi="Arial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eastAsia="Yu Gothic" w:hAnsi="Arial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2026-09-10T18:54:33Z</dcterms:created>
  <dcterms:modified xsi:type="dcterms:W3CDTF">2026-09-10T18:54:33Z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