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ns1="http://schemas.openxmlformats.org/officeDocument/2006/relationships" xmlns:w="http://schemas.openxmlformats.org/wordprocessingml/2006/main">
  <w:body>
    <w:bookmarkStart w:id="17" w:name="X747535ec248b4c6701c9c117a4c4b6f34ccb4cc"/>
    <w:p>
      <w:pPr>
        <w:pStyle w:val="Heading1"/>
      </w:pPr>
      <w:r>
        <w:t xml:space="preserve">Exemple rempli de battlecard commerciale — Browse AI / Amazon S3</w:t>
      </w:r>
    </w:p>
    <w:p>
      <w:pPr>
        <w:pStyle w:val="FirstParagraph"/>
      </w:pPr>
      <w:r>
        <w:t xml:space="preserve">Notre</w:t>
      </w:r>
      <w:r>
        <w:t xml:space="preserve"> </w:t>
      </w:r>
      <w:hyperlink ns1:id="rId9">
        <w:r>
          <w:rPr>
            <w:rStyle w:val="Hyperlink"/>
          </w:rPr>
          <w:t xml:space="preserve">fiche Browse AI</w:t>
        </w:r>
      </w:hyperlink>
      <w:r>
        <w:t xml:space="preserve"> </w:t>
      </w:r>
      <w:r>
        <w:t xml:space="preserve">a fait ressortir la prise en charge de destinations de données. Nous avons suivi ce signal jusqu’à la</w:t>
      </w:r>
      <w:r>
        <w:t xml:space="preserve"> </w:t>
      </w:r>
      <w:hyperlink ns1:id="rId10">
        <w:r>
          <w:rPr>
            <w:rStyle w:val="Hyperlink"/>
          </w:rPr>
          <w:t xml:space="preserve">page Amazon S3</w:t>
        </w:r>
      </w:hyperlink>
      <w:r>
        <w:t xml:space="preserve"> </w:t>
      </w:r>
      <w:r>
        <w:t xml:space="preserve">actuelle de Browse AI et à son</w:t>
      </w:r>
      <w:r>
        <w:t xml:space="preserve"> </w:t>
      </w:r>
      <w:hyperlink ns1:id="rId11">
        <w:r>
          <w:rPr>
            <w:rStyle w:val="Hyperlink"/>
          </w:rPr>
          <w:t xml:space="preserve">guide de configuration</w:t>
        </w:r>
      </w:hyperlink>
      <w:r>
        <w:t xml:space="preserve">. Ils offrent une base bien plus solide pour une battlecard qu’une case cochée dans une grille fonctionnelle.</w:t>
      </w:r>
    </w:p>
    <w:p>
      <w:pPr>
        <w:pStyle w:val="BodyText"/>
      </w:pPr>
      <w:r>
        <w:t xml:space="preserve">Browse AI documente les exports CSV et JSON, la disponibilité de S3 dans tous les forfaits sans frais d’intégration supplémentaires et la consommation habituelle de crédits d’exécution des robots. Son guide de configuration exige un compte AWS autorisé à créer des piles CloudFormation et des rôles IAM, ainsi que le bucket de destination. Voilà des faits concrets sur lesquels travailler.</w:t>
      </w:r>
    </w:p>
    <w:p>
      <w:pPr>
        <w:pStyle w:val="BodyText"/>
      </w:pPr>
      <w:r>
        <w:t xml:space="preserve">Voici une</w:t>
      </w:r>
      <w:r>
        <w:t xml:space="preserve"> </w:t>
      </w:r>
      <w:r>
        <w:rPr>
          <w:b/>
          <w:bCs/>
        </w:rPr>
        <w:t xml:space="preserve">fiche d’exemple pour un fournisseur concurrent hypothétique d’extraction de données</w:t>
      </w:r>
      <w:r>
        <w:t xml:space="preserve">. Le scénario d’achat et les formulations commerciales proposées sont illustratifs. Nous n’avons testé aucun des deux produits dans un environnement client et n’affirmons pas que le vendeur hypothétique possède un avantage.</w:t>
      </w:r>
    </w:p>
    <w:bookmarkStart w:id="12" w:name="acheteur-et-adéquation"/>
    <w:p>
      <w:pPr>
        <w:pStyle w:val="Heading3"/>
      </w:pPr>
      <w:r>
        <w:t xml:space="preserve">Acheteur et adéquation</w:t>
      </w:r>
    </w:p>
    <w:p>
      <w:pPr>
        <w:pStyle w:val="FirstParagraph"/>
      </w:pPr>
      <w:r>
        <w:rPr>
          <w:b/>
          <w:bCs/>
        </w:rPr>
        <w:t xml:space="preserve">Situation :</w:t>
      </w:r>
      <w:r>
        <w:t xml:space="preserve"> </w:t>
      </w:r>
      <w:r>
        <w:t xml:space="preserve">un responsable des opérations souhaite recevoir régulièrement des données web dans le propre bucket S3 de son entreprise. Un administrateur AWS contrôle les autorisations. L’acheteur hésite entre Browse AI et un autre outil d’extraction.</w:t>
      </w:r>
    </w:p>
    <w:p>
      <w:pPr>
        <w:pStyle w:val="BodyText"/>
      </w:pPr>
      <w:r>
        <w:rPr>
          <w:b/>
          <w:bCs/>
        </w:rPr>
        <w:t xml:space="preserve">Atout crédible de Browse AI :</w:t>
      </w:r>
      <w:r>
        <w:t xml:space="preserve"> </w:t>
      </w:r>
      <w:r>
        <w:t xml:space="preserve">le produit documente déjà la destination d’export et les formats de fichier requis. Un acheteur qui veut des données dans S3 a une raison de le présélectionner. Ne réduisez pas cet atout à « une simple intégration ».</w:t>
      </w:r>
    </w:p>
    <w:p>
      <w:pPr>
        <w:pStyle w:val="BodyText"/>
      </w:pPr>
      <w:r>
        <w:rPr>
          <w:b/>
          <w:bCs/>
        </w:rPr>
        <w:t xml:space="preserve">Qualification :</w:t>
      </w:r>
      <w:r>
        <w:t xml:space="preserve"> </w:t>
      </w:r>
      <w:r>
        <w:t xml:space="preserve">cherchez quelle partie du processus pose problème. Extraire les bons champs, approuver l’accès AWS, livrer un fichier prévisible ou rétablir une exécution en échec sont des tâches distinctes. Faites porter la concurrence sur celle pour laquelle l’acheteur a réellement besoin d’aide.</w:t>
      </w:r>
    </w:p>
    <w:p>
      <w:pPr>
        <w:pStyle w:val="BodyText"/>
      </w:pPr>
      <w:r>
        <w:rPr>
          <w:b/>
          <w:bCs/>
        </w:rPr>
        <w:t xml:space="preserve">Condition rendant un remplacement peu pertinent :</w:t>
      </w:r>
      <w:r>
        <w:t xml:space="preserve"> </w:t>
      </w:r>
      <w:r>
        <w:t xml:space="preserve">si Browse AI répond déjà aux exigences d’extraction, d’accès et de traitement en aval à un coût acceptable, une case d’intégration est une faible raison de changer. Identifiez un vrai problème non résolu avant de proposer une migration.</w:t>
      </w:r>
    </w:p>
    <w:bookmarkEnd w:id="12"/>
    <w:bookmarkStart w:id="13" w:name="X1a8b15a2151c25e6fc8697690f9d88573715982"/>
    <w:p>
      <w:pPr>
        <w:pStyle w:val="Heading3"/>
      </w:pPr>
      <w:r>
        <w:t xml:space="preserve">Une découverte qui fait avancer la décision</w:t>
      </w:r>
    </w:p>
    <w:tbl>
      <w:tblPr>
        <w:tblStyle w:val="Table"/>
        <w:tblW w:type="pct" w:w="5000"/>
        <w:tblLayout w:type="fixed"/>
        <w:tblLook w:firstRow="1" w:lastRow="0" w:firstColumn="0" w:lastColumn="0" w:noHBand="0" w:noVBand="0" w:val="0020"/>
        <w:tblBorders>
          <w:top w:val="single" w:sz="4" w:color="C8BFAE"/>
          <w:left w:val="single" w:sz="4" w:color="C8BFAE"/>
          <w:bottom w:val="single" w:sz="4" w:color="C8BFAE"/>
          <w:right w:val="single" w:sz="4" w:color="C8BFAE"/>
          <w:insideH w:val="single" w:sz="4" w:color="C8BFAE"/>
          <w:insideV w:val="single" w:sz="4" w:color="C8BFAE"/>
        </w:tblBorders>
      </w:tblPr>
      <w:tblGrid>
        <w:gridCol w:w="2640"/>
        <w:gridCol w:w="2640"/>
        <w:gridCol w:w="2640"/>
      </w:tblGrid>
      <w:tr>
        <w:trPr>
          <w:tblHeader w:val="on"/>
        </w:trPr>
        <w:tc>
          <w:tcPr>
            <w:tcMar>
              <w:top w:w="100" w:type="dxa"/>
              <w:left w:w="100" w:type="dxa"/>
              <w:bottom w:w="100" w:type="dxa"/>
              <w:right w:w="100" w:type="dxa"/>
            </w:tcMar>
          </w:tcPr>
          <w:p>
            <w:pPr>
              <w:pStyle w:val="Compact"/>
            </w:pPr>
            <w:r>
              <w:rPr>
                <w:b/>
              </w:rPr>
              <w:t xml:space="preserve">Question</w:t>
            </w:r>
          </w:p>
        </w:tc>
        <w:tc>
          <w:tcPr>
            <w:tcMar>
              <w:top w:w="100" w:type="dxa"/>
              <w:left w:w="100" w:type="dxa"/>
              <w:bottom w:w="100" w:type="dxa"/>
              <w:right w:w="100" w:type="dxa"/>
            </w:tcMar>
          </w:tcPr>
          <w:p>
            <w:pPr>
              <w:pStyle w:val="Compact"/>
            </w:pPr>
            <w:r>
              <w:rPr>
                <w:b/>
              </w:rPr>
              <w:t xml:space="preserve">Relance</w:t>
            </w:r>
          </w:p>
        </w:tc>
        <w:tc>
          <w:tcPr>
            <w:tcMar>
              <w:top w:w="100" w:type="dxa"/>
              <w:left w:w="100" w:type="dxa"/>
              <w:bottom w:w="100" w:type="dxa"/>
              <w:right w:w="100" w:type="dxa"/>
            </w:tcMar>
          </w:tcPr>
          <w:p>
            <w:pPr>
              <w:pStyle w:val="Compact"/>
            </w:pPr>
            <w:r>
              <w:rPr>
                <w:b/>
              </w:rPr>
              <w:t xml:space="preserve">Ce que la réponse change</w:t>
            </w:r>
          </w:p>
        </w:tc>
      </w:tr>
      <w:tr>
        <w:tc>
          <w:tcPr>
            <w:tcMar>
              <w:top w:w="100" w:type="dxa"/>
              <w:left w:w="100" w:type="dxa"/>
              <w:bottom w:w="100" w:type="dxa"/>
              <w:right w:w="100" w:type="dxa"/>
            </w:tcMar>
          </w:tcPr>
          <w:p>
            <w:pPr>
              <w:pStyle w:val="Compact"/>
            </w:pPr>
            <w:r>
              <w:t xml:space="preserve">« Qu’est-ce qui consommera le fichier exporté ? »</w:t>
            </w:r>
          </w:p>
        </w:tc>
        <w:tc>
          <w:tcPr>
            <w:tcMar>
              <w:top w:w="100" w:type="dxa"/>
              <w:left w:w="100" w:type="dxa"/>
              <w:bottom w:w="100" w:type="dxa"/>
              <w:right w:w="100" w:type="dxa"/>
            </w:tcMar>
          </w:tcPr>
          <w:p>
            <w:pPr>
              <w:pStyle w:val="Compact"/>
            </w:pPr>
            <w:r>
              <w:t xml:space="preserve">« Faut-il du CSV ou du JSON, des noms de champs précis ou une structure de dossiers particulière ? »</w:t>
            </w:r>
          </w:p>
        </w:tc>
        <w:tc>
          <w:tcPr>
            <w:tcMar>
              <w:top w:w="100" w:type="dxa"/>
              <w:left w:w="100" w:type="dxa"/>
              <w:bottom w:w="100" w:type="dxa"/>
              <w:right w:w="100" w:type="dxa"/>
            </w:tcMar>
          </w:tcPr>
          <w:p>
            <w:pPr>
              <w:pStyle w:val="Compact"/>
            </w:pPr>
            <w:r>
              <w:t xml:space="preserve">Définit l’exemple de sortie que les deux fournisseurs doivent produire.</w:t>
            </w:r>
          </w:p>
        </w:tc>
      </w:tr>
      <w:tr>
        <w:tc>
          <w:tcPr>
            <w:tcMar>
              <w:top w:w="100" w:type="dxa"/>
              <w:left w:w="100" w:type="dxa"/>
              <w:bottom w:w="100" w:type="dxa"/>
              <w:right w:w="100" w:type="dxa"/>
            </w:tcMar>
          </w:tcPr>
          <w:p>
            <w:pPr>
              <w:pStyle w:val="Compact"/>
            </w:pPr>
            <w:r>
              <w:t xml:space="preserve">« Qui peut approuver la connexion AWS ? »</w:t>
            </w:r>
          </w:p>
        </w:tc>
        <w:tc>
          <w:tcPr>
            <w:tcMar>
              <w:top w:w="100" w:type="dxa"/>
              <w:left w:w="100" w:type="dxa"/>
              <w:bottom w:w="100" w:type="dxa"/>
              <w:right w:w="100" w:type="dxa"/>
            </w:tcMar>
          </w:tcPr>
          <w:p>
            <w:pPr>
              <w:pStyle w:val="Compact"/>
            </w:pPr>
            <w:r>
              <w:t xml:space="preserve">« Cette personne peut-elle créer le rôle IAM et la pile CloudFormation requis ? »</w:t>
            </w:r>
          </w:p>
        </w:tc>
        <w:tc>
          <w:tcPr>
            <w:tcMar>
              <w:top w:w="100" w:type="dxa"/>
              <w:left w:w="100" w:type="dxa"/>
              <w:bottom w:w="100" w:type="dxa"/>
              <w:right w:w="100" w:type="dxa"/>
            </w:tcMar>
          </w:tcPr>
          <w:p>
            <w:pPr>
              <w:pStyle w:val="Compact"/>
            </w:pPr>
            <w:r>
              <w:t xml:space="preserve">Identifie une dépendance de mise en œuvre et la personne à impliquer.</w:t>
            </w:r>
          </w:p>
        </w:tc>
      </w:tr>
      <w:tr>
        <w:tc>
          <w:tcPr>
            <w:tcMar>
              <w:top w:w="100" w:type="dxa"/>
              <w:left w:w="100" w:type="dxa"/>
              <w:bottom w:w="100" w:type="dxa"/>
              <w:right w:w="100" w:type="dxa"/>
            </w:tcMar>
          </w:tcPr>
          <w:p>
            <w:pPr>
              <w:pStyle w:val="Compact"/>
            </w:pPr>
            <w:r>
              <w:t xml:space="preserve">« À quel point les données doivent-elles être récentes ? »</w:t>
            </w:r>
          </w:p>
        </w:tc>
        <w:tc>
          <w:tcPr>
            <w:tcMar>
              <w:top w:w="100" w:type="dxa"/>
              <w:left w:w="100" w:type="dxa"/>
              <w:bottom w:w="100" w:type="dxa"/>
              <w:right w:w="100" w:type="dxa"/>
            </w:tcMar>
          </w:tcPr>
          <w:p>
            <w:pPr>
              <w:pStyle w:val="Compact"/>
            </w:pPr>
            <w:r>
              <w:t xml:space="preserve">« Que se passe-t-il en aval si un export arrive en retard ou en double ? »</w:t>
            </w:r>
          </w:p>
        </w:tc>
        <w:tc>
          <w:tcPr>
            <w:tcMar>
              <w:top w:w="100" w:type="dxa"/>
              <w:left w:w="100" w:type="dxa"/>
              <w:bottom w:w="100" w:type="dxa"/>
              <w:right w:w="100" w:type="dxa"/>
            </w:tcMar>
          </w:tcPr>
          <w:p>
            <w:pPr>
              <w:pStyle w:val="Compact"/>
            </w:pPr>
            <w:r>
              <w:t xml:space="preserve">Fixe un test d’acceptation pour la livraison et la gestion des échecs.</w:t>
            </w:r>
          </w:p>
        </w:tc>
      </w:tr>
      <w:tr>
        <w:tc>
          <w:tcPr>
            <w:tcMar>
              <w:top w:w="100" w:type="dxa"/>
              <w:left w:w="100" w:type="dxa"/>
              <w:bottom w:w="100" w:type="dxa"/>
              <w:right w:w="100" w:type="dxa"/>
            </w:tcMar>
          </w:tcPr>
          <w:p>
            <w:pPr>
              <w:pStyle w:val="Compact"/>
            </w:pPr>
            <w:r>
              <w:t xml:space="preserve">« Qui en sera responsable après la configuration ? »</w:t>
            </w:r>
          </w:p>
        </w:tc>
        <w:tc>
          <w:tcPr>
            <w:tcMar>
              <w:top w:w="100" w:type="dxa"/>
              <w:left w:w="100" w:type="dxa"/>
              <w:bottom w:w="100" w:type="dxa"/>
              <w:right w:w="100" w:type="dxa"/>
            </w:tcMar>
          </w:tcPr>
          <w:p>
            <w:pPr>
              <w:pStyle w:val="Compact"/>
            </w:pPr>
            <w:r>
              <w:t xml:space="preserve">« Qui est averti et rétablit le processus en cas de panne ? »</w:t>
            </w:r>
          </w:p>
        </w:tc>
        <w:tc>
          <w:tcPr>
            <w:tcMar>
              <w:top w:w="100" w:type="dxa"/>
              <w:left w:w="100" w:type="dxa"/>
              <w:bottom w:w="100" w:type="dxa"/>
              <w:right w:w="100" w:type="dxa"/>
            </w:tcMar>
          </w:tcPr>
          <w:p>
            <w:pPr>
              <w:pStyle w:val="Compact"/>
            </w:pPr>
            <w:r>
              <w:t xml:space="preserve">Ouvre une discussion utile sur le travail récurrent.</w:t>
            </w:r>
          </w:p>
        </w:tc>
      </w:tr>
    </w:tbl>
    <w:p>
      <w:pPr>
        <w:pStyle w:val="BodyText"/>
      </w:pPr>
      <w:r>
        <w:t xml:space="preserve">Ces questions ne sous-entendent pas que Browse AI échoue à satisfaire l’une de ces exigences. Elles établissent ce qu’il faut vérifier avant de comparer les offres.</w:t>
      </w:r>
    </w:p>
    <w:bookmarkEnd w:id="13"/>
    <w:bookmarkStart w:id="14" w:name="X98f4b717f954f62090fa09d199b5db01cdbdb4c"/>
    <w:p>
      <w:pPr>
        <w:pStyle w:val="Heading3"/>
      </w:pPr>
      <w:r>
        <w:t xml:space="preserve">Registre de l’affirmation et réponse à l’objection</w:t>
      </w:r>
    </w:p>
    <w:p>
      <w:pPr>
        <w:pStyle w:val="FirstParagraph"/>
      </w:pPr>
      <w:r>
        <w:rPr>
          <w:b/>
          <w:bCs/>
        </w:rPr>
        <w:t xml:space="preserve">S3-01 — utilisable, documenté par le fournisseur, vérifié le 10 septembre 2026 :</w:t>
      </w:r>
      <w:r>
        <w:t xml:space="preserve"> </w:t>
      </w:r>
      <w:r>
        <w:t xml:space="preserve">Browse AI documente une intégration S3 avec des exports CSV et JSON. Sa FAQ indique que l’intégration est incluse dans tous ses forfaits ; les crédits habituels d’exécution des robots continuent de s’appliquer. Son guide décrit les autorisations AWS nécessaires à la configuration.</w:t>
      </w:r>
    </w:p>
    <w:p>
      <w:pPr>
        <w:pStyle w:val="BodyText"/>
      </w:pPr>
      <w:r>
        <w:rPr>
          <w:b/>
          <w:bCs/>
        </w:rPr>
        <w:t xml:space="preserve">Retirez cette formulation hypothétique :</w:t>
      </w:r>
      <w:r>
        <w:t xml:space="preserve"> </w:t>
      </w:r>
      <w:r>
        <w:t xml:space="preserve">« Browse AI ne peut pas exporter vers votre propre stockage cloud. »</w:t>
      </w:r>
    </w:p>
    <w:p>
      <w:pPr>
        <w:pStyle w:val="BodyText"/>
      </w:pPr>
      <w:r>
        <w:rPr>
          <w:b/>
          <w:bCs/>
        </w:rPr>
        <w:t xml:space="preserve">À éviter également :</w:t>
      </w:r>
      <w:r>
        <w:t xml:space="preserve"> </w:t>
      </w:r>
      <w:r>
        <w:t xml:space="preserve">« L’export S3 est gratuit, donc l’usage ne coûte rien. » Les frais d’intégration et le coût d’exécution de l’extraction sont deux choses distinctes.</w:t>
      </w:r>
    </w:p>
    <w:p>
      <w:pPr>
        <w:pStyle w:val="BodyText"/>
      </w:pPr>
      <w:r>
        <w:rPr>
          <w:b/>
          <w:bCs/>
        </w:rPr>
        <w:t xml:space="preserve">Objection de l’acheteur :</w:t>
      </w:r>
      <w:r>
        <w:t xml:space="preserve"> </w:t>
      </w:r>
      <w:r>
        <w:t xml:space="preserve">« Browse AI envoie déjà les données vers S3. »</w:t>
      </w:r>
    </w:p>
    <w:p>
      <w:pPr>
        <w:pStyle w:val="BodyText"/>
      </w:pPr>
      <w:r>
        <w:rPr>
          <w:b/>
          <w:bCs/>
        </w:rPr>
        <w:t xml:space="preserve">Réponse proposée :</w:t>
      </w:r>
      <w:r>
        <w:t xml:space="preserve"> </w:t>
      </w:r>
      <w:r>
        <w:t xml:space="preserve">« Oui, cette intégration est documentée. Comparons la sortie dont votre processus en aval a besoin et qui en assurera la maintenance. Si les deux outils répondent à ces exigences, la décision doit porter sur les différences restantes d’extraction, d’exploitation et de conditions commerciales. »</w:t>
      </w:r>
    </w:p>
    <w:p>
      <w:pPr>
        <w:pStyle w:val="BodyText"/>
      </w:pPr>
      <w:r>
        <w:t xml:space="preserve">Cette réponse reconnaît que l’information de l’acheteur est correcte. Elle donne aussi au commercial une prochaine étape utile sans inventer de lacune fonctionnelle.</w:t>
      </w:r>
    </w:p>
    <w:bookmarkEnd w:id="14"/>
    <w:bookmarkStart w:id="15" w:name="un-exercice-de-preuve-équitable"/>
    <w:p>
      <w:pPr>
        <w:pStyle w:val="Heading3"/>
      </w:pPr>
      <w:r>
        <w:t xml:space="preserve">Un exercice de preuve équitable</w:t>
      </w:r>
    </w:p>
    <w:p>
      <w:pPr>
        <w:pStyle w:val="FirstParagraph"/>
      </w:pPr>
      <w:r>
        <w:t xml:space="preserve">Convenez des exigences avec l’acheteur avant la démo. Utilisez la même page source et les mêmes champs requis pour les deux fournisseurs, avec l’autorisation d’extraire les données et une destination hors production.</w:t>
      </w:r>
    </w:p>
    <w:p>
      <w:pPr>
        <w:pStyle w:val="Compact"/>
        <w:numPr>
          <w:ilvl w:val="0"/>
          <w:numId w:val="1001"/>
        </w:numPr>
      </w:pPr>
      <w:r>
        <w:rPr>
          <w:b/>
          <w:bCs/>
        </w:rPr>
        <w:t xml:space="preserve">Produire l’échantillon.</w:t>
      </w:r>
      <w:r>
        <w:t xml:space="preserve"> </w:t>
      </w:r>
      <w:r>
        <w:t xml:space="preserve">Exportez les champs convenus dans le format choisi par l’acheteur. Vérifiez l’exhaustivité, les noms de champs et la représentation des valeurs manquantes.</w:t>
      </w:r>
    </w:p>
    <w:p>
      <w:pPr>
        <w:pStyle w:val="Compact"/>
        <w:numPr>
          <w:ilvl w:val="0"/>
          <w:numId w:val="1001"/>
        </w:numPr>
      </w:pPr>
      <w:r>
        <w:rPr>
          <w:b/>
          <w:bCs/>
        </w:rPr>
        <w:t xml:space="preserve">Examiner la livraison.</w:t>
      </w:r>
      <w:r>
        <w:t xml:space="preserve"> </w:t>
      </w:r>
      <w:r>
        <w:t xml:space="preserve">Confirmez que le fichier arrive dans le bucket et sous le préfixe prévus. Vérifiez que le processus en aval peut consommer la sortie réelle.</w:t>
      </w:r>
    </w:p>
    <w:p>
      <w:pPr>
        <w:pStyle w:val="Compact"/>
        <w:numPr>
          <w:ilvl w:val="0"/>
          <w:numId w:val="1001"/>
        </w:numPr>
      </w:pPr>
      <w:r>
        <w:rPr>
          <w:b/>
          <w:bCs/>
        </w:rPr>
        <w:t xml:space="preserve">Examiner les accès.</w:t>
      </w:r>
      <w:r>
        <w:t xml:space="preserve"> </w:t>
      </w:r>
      <w:r>
        <w:t xml:space="preserve">Demandez au responsable AWS d’inspecter les autorisations et les étapes de configuration. Consignez le travail demandé à l’acheteur plutôt que de le déduire d’une promesse marketing « sans code ».</w:t>
      </w:r>
    </w:p>
    <w:p>
      <w:pPr>
        <w:pStyle w:val="Compact"/>
        <w:numPr>
          <w:ilvl w:val="0"/>
          <w:numId w:val="1001"/>
        </w:numPr>
      </w:pPr>
      <w:r>
        <w:rPr>
          <w:b/>
          <w:bCs/>
        </w:rPr>
        <w:t xml:space="preserve">Tester les exécutions répétées.</w:t>
      </w:r>
      <w:r>
        <w:t xml:space="preserve"> </w:t>
      </w:r>
      <w:r>
        <w:t xml:space="preserve">Sur une source de test contrôlée, modifiez une valeur et relancez l’exécution. Notez le comportement des mises à jour, du nommage des fichiers et des doublons.</w:t>
      </w:r>
    </w:p>
    <w:p>
      <w:pPr>
        <w:pStyle w:val="Compact"/>
        <w:numPr>
          <w:ilvl w:val="0"/>
          <w:numId w:val="1001"/>
        </w:numPr>
      </w:pPr>
      <w:r>
        <w:rPr>
          <w:b/>
          <w:bCs/>
        </w:rPr>
        <w:t xml:space="preserve">Examiner la reprise et le coût.</w:t>
      </w:r>
      <w:r>
        <w:t xml:space="preserve"> </w:t>
      </w:r>
      <w:r>
        <w:t xml:space="preserve">Demandez comment les échecs sont signalés et corrigés, puis relevez l’usage réel du test. Identifiez l’assistance ou les tâches d’exploitation récurrentes qui restent nécessaires.</w:t>
      </w:r>
    </w:p>
    <w:p>
      <w:pPr>
        <w:pStyle w:val="FirstParagraph"/>
      </w:pPr>
      <w:r>
        <w:t xml:space="preserve">Les critères de réussite sont la sortie requise par l’acheteur, les accès autorisés et le comportement de livraison convenu. Nous proposons ce test ; nous n’en rapportons pas un résultat. Ajoutez les preuves réelles à la fiche lorsqu’elles existent.</w:t>
      </w:r>
    </w:p>
    <w:p>
      <w:pPr>
        <w:pStyle w:val="BodyText"/>
      </w:pPr>
      <w:r>
        <w:rPr>
          <w:b/>
          <w:bCs/>
        </w:rPr>
        <w:t xml:space="preserve">Prochaine étape :</w:t>
      </w:r>
      <w:r>
        <w:t xml:space="preserve"> </w:t>
      </w:r>
      <w:r>
        <w:t xml:space="preserve">le responsable de l’affaire envoie la spécification de l’échantillon ; l’administrateur AWS de l’acheteur confirme les exigences d’accès ; le spécialiste produit consigne les deux sorties et les questions non résolues. Convenez d’une date avec ces personnes plutôt que d’ajouter une échéance arbitraire à la fiche.</w:t>
      </w:r>
    </w:p>
    <w:bookmarkEnd w:id="15"/>
    <w:bookmarkStart w:id="16" w:name="preuves-et-responsabilités"/>
    <w:p>
      <w:pPr>
        <w:pStyle w:val="Heading2"/>
      </w:pPr>
      <w:r>
        <w:t xml:space="preserve">Preuves et responsabilités</w:t>
      </w:r>
    </w:p>
    <w:p>
      <w:pPr>
        <w:pStyle w:val="FirstParagraph"/>
      </w:pPr>
      <w:r>
        <w:t xml:space="preserve">Identifiant de l’affirmation : S3-01. Niveau de preuve : documenté par le fournisseur. Date de vérification : 10 septembre 2026. Statut : utilisable uniquement pour l’existence documentée, les formats et l’éligibilité déclarée des forfaits ; les performances comparatives restent non testées.</w:t>
      </w:r>
    </w:p>
    <w:p>
      <w:pPr>
        <w:pStyle w:val="BodyText"/>
      </w:pPr>
      <w:r>
        <w:t xml:space="preserve">Sources :</w:t>
      </w:r>
    </w:p>
    <w:p>
      <w:pPr>
        <w:pStyle w:val="Compact"/>
        <w:numPr>
          <w:ilvl w:val="0"/>
          <w:numId w:val="1002"/>
        </w:numPr>
      </w:pPr>
      <w:r>
        <w:t xml:space="preserve">https://www.browse.ai/integrations/amazon-s3</w:t>
      </w:r>
    </w:p>
    <w:p>
      <w:pPr>
        <w:pStyle w:val="Compact"/>
        <w:numPr>
          <w:ilvl w:val="0"/>
          <w:numId w:val="1002"/>
        </w:numPr>
      </w:pPr>
      <w:r>
        <w:t xml:space="preserve">https://help.browse.ai/en/articles/10715592-aws-s3-integration-guide</w:t>
      </w:r>
    </w:p>
    <w:p>
      <w:pPr>
        <w:pStyle w:val="FirstParagraph"/>
      </w:pPr>
      <w:r>
        <w:t xml:space="preserve">Responsable de la fiche : nommez un responsable avant toute utilisation opérationnelle. L’acheteur, le vendeur, les échéances et les résultats d’évaluation ne correspondent pas à une affaire réelle. Convenez-en avec les vrais participants. Revérifiez la documentation et le forfait concerné avant une comparaison en direct. La formulation retirée sert d’illustration ; elle ne signifie pas qu’un vrai fournisseur l’a utilisée.</w:t>
      </w:r>
    </w:p>
    <w:p>
      <w:pPr>
        <w:pStyle w:val="BodyText"/>
      </w:pPr>
      <w:r>
        <w:t xml:space="preserve">Guide : https://competitortracker.io/fr/blog/battlecards-go-stale-dossiers-do-not/</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Arial" w:eastAsia="Yu Gothic" w:hAnsi="Arial"/>
        <w:sz w:val="22"/>
        <w:szCs w:val="24"/>
        <w:lang w:bidi="ar-SA" w:eastAsia="zh-CN" w:val="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w:eastAsia="Yu Gothic" w:hAnsi="Arial"/>
      <w:sz w:val="56"/>
      <w:szCs w:val="56"/>
      <w:color w:val="76531C"/>
    </w:rPr>
  </w:style>
  <w:style w:customStyle="1" w:styleId="TitleChar" w:type="character">
    <w:name w:val="Title Char"/>
    <w:basedOn w:val="DefaultParagraphFont"/>
    <w:link w:val="Title"/>
    <w:uiPriority w:val="10"/>
    <w:rsid w:val="00A10FD9"/>
    <w:rPr>
      <w:rFonts w:ascii="Arial" w:eastAsia="Yu Gothic" w:hAnsi="Arial"/>
      <w:sz w:val="56"/>
      <w:szCs w:val="56"/>
    </w:rPr>
  </w:style>
  <w:style w:styleId="Subtitle" w:type="paragraph">
    <w:name w:val="Subtitle"/>
    <w:basedOn w:val="Title"/>
    <w:next w:val="BodyText"/>
    <w:link w:val="SubtitleChar"/>
    <w:uiPriority w:val="11"/>
    <w:qFormat/>
    <w:rsid w:val="00A10FD9"/>
    <w:pPr>
      <w:numPr>
        <w:ilvl w:val="1"/>
      </w:numPr>
    </w:pPr>
    <w:rPr>
      <w:rFonts w:ascii="Arial" w:eastAsia="Yu Gothic" w:hAnsi="Arial"/>
      <w:spacing w:val="15"/>
      <w:sz w:val="28"/>
      <w:szCs w:val="28"/>
    </w:rPr>
  </w:style>
  <w:style w:customStyle="1" w:styleId="SubtitleChar" w:type="character">
    <w:name w:val="Subtitle Char"/>
    <w:basedOn w:val="DefaultParagraphFont"/>
    <w:link w:val="Subtitle"/>
    <w:uiPriority w:val="11"/>
    <w:rsid w:val="00A10FD9"/>
    <w:rPr>
      <w:rFonts w:ascii="Arial" w:eastAsia="Yu Gothic" w:hAnsi="Arial"/>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w:eastAsia="Yu Gothic" w:hAnsi="Arial"/>
      <w:color w:val="76531C"/>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w:eastAsia="Yu Gothic" w:hAnsi="Arial"/>
      <w:color w:val="76531C"/>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w:eastAsia="Yu Gothic" w:hAnsi="Arial"/>
      <w:color w:val="76531C"/>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w:eastAsia="Yu Gothic" w:hAnsi="Arial"/>
      <w:i/>
      <w:iCs/>
      <w:color w:val="76531C"/>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w:eastAsia="Yu Gothic" w:hAnsi="Arial"/>
      <w:color w:val="76531C"/>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w:eastAsia="Yu Gothic" w:hAnsi="Arial"/>
      <w:i/>
      <w:iCs/>
      <w:color w:val="76531C"/>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w:eastAsia="Yu Gothic" w:hAnsi="Arial"/>
      <w:color w:val="76531C"/>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w:eastAsia="Yu Gothic" w:hAnsi="Arial"/>
      <w:i/>
      <w:iCs/>
      <w:color w:val="76531C"/>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w:eastAsia="Yu Gothic" w:hAnsi="Arial"/>
      <w:color w:val="76531C"/>
    </w:rPr>
  </w:style>
  <w:style w:customStyle="1" w:styleId="Heading1Char" w:type="character">
    <w:name w:val="Heading 1 Char"/>
    <w:basedOn w:val="DefaultParagraphFont"/>
    <w:link w:val="Heading1"/>
    <w:uiPriority w:val="9"/>
    <w:rsid w:val="00A10FD9"/>
    <w:rPr>
      <w:rFonts w:ascii="Arial" w:eastAsia="Yu Gothic" w:hAnsi="Arial"/>
      <w:color w:val="76531C"/>
      <w:sz w:val="40"/>
      <w:szCs w:val="40"/>
    </w:rPr>
  </w:style>
  <w:style w:customStyle="1" w:styleId="Heading2Char" w:type="character">
    <w:name w:val="Heading 2 Char"/>
    <w:basedOn w:val="DefaultParagraphFont"/>
    <w:link w:val="Heading2"/>
    <w:uiPriority w:val="9"/>
    <w:semiHidden/>
    <w:rsid w:val="00A10FD9"/>
    <w:rPr>
      <w:rFonts w:ascii="Arial" w:eastAsia="Yu Gothic" w:hAnsi="Arial"/>
      <w:color w:val="76531C"/>
      <w:sz w:val="32"/>
      <w:szCs w:val="32"/>
    </w:rPr>
  </w:style>
  <w:style w:customStyle="1" w:styleId="Heading3Char" w:type="character">
    <w:name w:val="Heading 3 Char"/>
    <w:basedOn w:val="DefaultParagraphFont"/>
    <w:link w:val="Heading3"/>
    <w:uiPriority w:val="9"/>
    <w:semiHidden/>
    <w:rsid w:val="00A10FD9"/>
    <w:rPr>
      <w:rFonts w:ascii="Arial" w:eastAsia="Yu Gothic" w:hAnsi="Arial"/>
      <w:color w:val="76531C"/>
      <w:sz w:val="28"/>
      <w:szCs w:val="28"/>
    </w:rPr>
  </w:style>
  <w:style w:customStyle="1" w:styleId="Heading4Char" w:type="character">
    <w:name w:val="Heading 4 Char"/>
    <w:basedOn w:val="DefaultParagraphFont"/>
    <w:link w:val="Heading4"/>
    <w:uiPriority w:val="9"/>
    <w:semiHidden/>
    <w:rsid w:val="00A10FD9"/>
    <w:rPr>
      <w:rFonts w:ascii="Arial" w:eastAsia="Yu Gothic" w:hAnsi="Arial"/>
      <w:i/>
      <w:iCs/>
      <w:color w:val="76531C"/>
    </w:rPr>
  </w:style>
  <w:style w:customStyle="1" w:styleId="Heading5Char" w:type="character">
    <w:name w:val="Heading 5 Char"/>
    <w:basedOn w:val="DefaultParagraphFont"/>
    <w:link w:val="Heading5"/>
    <w:uiPriority w:val="9"/>
    <w:semiHidden/>
    <w:rsid w:val="00A10FD9"/>
    <w:rPr>
      <w:rFonts w:ascii="Arial" w:eastAsia="Yu Gothic" w:hAnsi="Arial"/>
      <w:color w:val="76531C"/>
    </w:rPr>
  </w:style>
  <w:style w:customStyle="1" w:styleId="Heading6Char" w:type="character">
    <w:name w:val="Heading 6 Char"/>
    <w:basedOn w:val="DefaultParagraphFont"/>
    <w:link w:val="Heading6"/>
    <w:uiPriority w:val="9"/>
    <w:semiHidden/>
    <w:rsid w:val="00A10FD9"/>
    <w:rPr>
      <w:rFonts w:ascii="Arial" w:eastAsia="Yu Gothic" w:hAnsi="Arial"/>
      <w:i/>
      <w:iCs/>
      <w:color w:val="76531C"/>
    </w:rPr>
  </w:style>
  <w:style w:customStyle="1" w:styleId="Heading7Char" w:type="character">
    <w:name w:val="Heading 7 Char"/>
    <w:basedOn w:val="DefaultParagraphFont"/>
    <w:link w:val="Heading7"/>
    <w:uiPriority w:val="9"/>
    <w:semiHidden/>
    <w:rsid w:val="00A10FD9"/>
    <w:rPr>
      <w:rFonts w:ascii="Arial" w:eastAsia="Yu Gothic" w:hAnsi="Arial"/>
      <w:color w:val="76531C"/>
    </w:rPr>
  </w:style>
  <w:style w:customStyle="1" w:styleId="Heading8Char" w:type="character">
    <w:name w:val="Heading 8 Char"/>
    <w:basedOn w:val="DefaultParagraphFont"/>
    <w:link w:val="Heading8"/>
    <w:uiPriority w:val="9"/>
    <w:semiHidden/>
    <w:rsid w:val="00A10FD9"/>
    <w:rPr>
      <w:rFonts w:ascii="Arial" w:eastAsia="Yu Gothic" w:hAnsi="Arial"/>
      <w:i/>
      <w:iCs/>
      <w:color w:val="76531C"/>
    </w:rPr>
  </w:style>
  <w:style w:customStyle="1" w:styleId="Heading9Char" w:type="character">
    <w:name w:val="Heading 9 Char"/>
    <w:basedOn w:val="DefaultParagraphFont"/>
    <w:link w:val="Heading9"/>
    <w:uiPriority w:val="9"/>
    <w:semiHidden/>
    <w:rsid w:val="00A10FD9"/>
    <w:rPr>
      <w:rFonts w:ascii="Arial" w:eastAsia="Yu Gothic" w:hAnsi="Arial"/>
      <w:color w:val="76531C"/>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100"/>
        <w:left w:type="dxa" w:w="100"/>
        <w:bottom w:type="dxa" w:w="100"/>
        <w:right w:type="dxa" w:w="100"/>
      </w:tblCellMar>
      <w:tblBorders>
        <w:top w:color="C8BFAE" w:sz="4" w:val="single"/>
        <w:left w:color="C8BFAE" w:sz="4" w:val="single"/>
        <w:bottom w:color="C8BFAE" w:sz="4" w:val="single"/>
        <w:right w:color="C8BFAE" w:sz="4" w:val="single"/>
        <w:insideH w:color="C8BFAE" w:sz="4" w:val="single"/>
        <w:insideV w:color="C8BFAE" w:sz="4" w:val="single"/>
      </w:tblBorders>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w:eastAsia="Yu Gothic" w:hAnsi="Arial"/>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w:eastAsia="Yu Gothic" w:hAnsi="Arial"/>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competitortracker.io/companies/browse/" TargetMode="External" /><Relationship Type="http://schemas.openxmlformats.org/officeDocument/2006/relationships/hyperlink" Id="rId11" Target="https://help.browse.ai/en/articles/10715592-aws-s3-integration-guide" TargetMode="External" /><Relationship Type="http://schemas.openxmlformats.org/officeDocument/2006/relationships/hyperlink" Id="rId10" Target="https://www.browse.ai/integrations/amazon-s3" TargetMode="External" /></Relationships>
</file>

<file path=word/_rels/footnotes.xml.rels><?xml version="1.0" encoding="UTF-8"?><Relationships xmlns="http://schemas.openxmlformats.org/package/2006/relationships"><Relationship Type="http://schemas.openxmlformats.org/officeDocument/2006/relationships/hyperlink" Id="rId9" Target="https://competitortracker.io/companies/browse/" TargetMode="External" /><Relationship Type="http://schemas.openxmlformats.org/officeDocument/2006/relationships/hyperlink" Id="rId11" Target="https://help.browse.ai/en/articles/10715592-aws-s3-integration-guide" TargetMode="External" /><Relationship Type="http://schemas.openxmlformats.org/officeDocument/2006/relationships/hyperlink" Id="rId10" Target="https://www.browse.ai/integrations/amazon-s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fr</dc:language>
  <cp:keywords/>
  <dcterms:created xsi:type="dcterms:W3CDTF">2026-09-10T18:54:34Z</dcterms:created>
  <dcterms:modified xsi:type="dcterms:W3CDTF">2026-09-10T18:54:34Z</dcterms:modified>
</cp:coreProperties>
</file>

<file path=docProps/custom.xml><?xml version="1.0" encoding="utf-8"?>
<Properties xmlns="http://schemas.openxmlformats.org/officeDocument/2006/custom-properties" xmlns:vt="http://schemas.openxmlformats.org/officeDocument/2006/docPropsVTypes"/>
</file>